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6EE0DB96" w:rsidR="00BF54FE" w:rsidRPr="00D61BB3" w:rsidRDefault="00B5597F" w:rsidP="006C2343">
          <w:pPr>
            <w:pStyle w:val="Tituldatum"/>
            <w:rPr>
              <w:rStyle w:val="Nzevakce"/>
            </w:rPr>
          </w:pPr>
          <w:r w:rsidRPr="00B5597F">
            <w:rPr>
              <w:rStyle w:val="Nzevakce"/>
            </w:rPr>
            <w:t>Oprava provozních objektů v obvodu OŘ OVA 2023 – Ostrava ADM</w:t>
          </w:r>
          <w:r>
            <w:rPr>
              <w:rStyle w:val="Nzevakce"/>
            </w:rPr>
            <w:t xml:space="preserve"> Skladištní</w:t>
          </w:r>
          <w:r w:rsidRPr="00B5597F">
            <w:rPr>
              <w:rStyle w:val="Nzevakce"/>
            </w:rPr>
            <w:t xml:space="preserve"> – vnitřní stavební úpravy 2. etapa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3359C816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9491C">
        <w:t>31</w:t>
      </w:r>
      <w:r w:rsidR="00C10A87">
        <w:t>.</w:t>
      </w:r>
      <w:r w:rsidR="007D485E">
        <w:t xml:space="preserve"> </w:t>
      </w:r>
      <w:r w:rsidR="00C10A87">
        <w:t>03.</w:t>
      </w:r>
      <w:r w:rsidR="007D485E">
        <w:t xml:space="preserve"> </w:t>
      </w:r>
      <w:r w:rsidR="00C10A87">
        <w:t>2023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1432AA38" w14:textId="2EBCF0D4" w:rsidR="005E2503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6758526" w:history="1">
        <w:r w:rsidR="005E2503" w:rsidRPr="00413291">
          <w:rPr>
            <w:rStyle w:val="Hypertextovodkaz"/>
          </w:rPr>
          <w:t>SEZNAM ZKRATEK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_Toc126758526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2</w:t>
        </w:r>
        <w:r w:rsidR="005E2503">
          <w:rPr>
            <w:noProof/>
            <w:webHidden/>
          </w:rPr>
          <w:fldChar w:fldCharType="end"/>
        </w:r>
      </w:hyperlink>
    </w:p>
    <w:p w14:paraId="76B8ED73" w14:textId="47B59D16" w:rsidR="005E2503" w:rsidRDefault="0024223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27" w:history="1">
        <w:r w:rsidR="005E2503" w:rsidRPr="00413291">
          <w:rPr>
            <w:rStyle w:val="Hypertextovodkaz"/>
          </w:rPr>
          <w:t>Pojmy a definice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_Toc126758527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3</w:t>
        </w:r>
        <w:r w:rsidR="005E2503">
          <w:rPr>
            <w:noProof/>
            <w:webHidden/>
          </w:rPr>
          <w:fldChar w:fldCharType="end"/>
        </w:r>
      </w:hyperlink>
    </w:p>
    <w:p w14:paraId="2F7A3D14" w14:textId="369A11B7" w:rsidR="005E2503" w:rsidRDefault="0024223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28" w:history="1">
        <w:r w:rsidR="005E2503" w:rsidRPr="00413291">
          <w:rPr>
            <w:rStyle w:val="Hypertextovodkaz"/>
          </w:rPr>
          <w:t>1.</w:t>
        </w:r>
        <w:r w:rsidR="005E25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SPECIFIKACE PŘEDMĚTU DÍLA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_Toc126758528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4</w:t>
        </w:r>
        <w:r w:rsidR="005E2503">
          <w:rPr>
            <w:noProof/>
            <w:webHidden/>
          </w:rPr>
          <w:fldChar w:fldCharType="end"/>
        </w:r>
      </w:hyperlink>
    </w:p>
    <w:p w14:paraId="7F85FC1B" w14:textId="34549A0B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29" w:history="1">
        <w:r w:rsidR="005E2503" w:rsidRPr="00413291">
          <w:rPr>
            <w:rStyle w:val="Hypertextovodkaz"/>
            <w:rFonts w:asciiTheme="majorHAnsi" w:hAnsiTheme="majorHAnsi"/>
          </w:rPr>
          <w:t>1.1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Účel a rozsah předmětu Díla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_Toc126758529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4</w:t>
        </w:r>
        <w:r w:rsidR="005E2503">
          <w:rPr>
            <w:noProof/>
            <w:webHidden/>
          </w:rPr>
          <w:fldChar w:fldCharType="end"/>
        </w:r>
      </w:hyperlink>
    </w:p>
    <w:p w14:paraId="5225A1D3" w14:textId="5792ED7C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30" w:history="1">
        <w:r w:rsidR="005E2503" w:rsidRPr="00413291">
          <w:rPr>
            <w:rStyle w:val="Hypertextovodkaz"/>
            <w:rFonts w:asciiTheme="majorHAnsi" w:hAnsiTheme="majorHAnsi"/>
          </w:rPr>
          <w:t>1.2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Umístění stavby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_Toc126758530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4</w:t>
        </w:r>
        <w:r w:rsidR="005E2503">
          <w:rPr>
            <w:noProof/>
            <w:webHidden/>
          </w:rPr>
          <w:fldChar w:fldCharType="end"/>
        </w:r>
      </w:hyperlink>
    </w:p>
    <w:p w14:paraId="08BE0BF9" w14:textId="33A263A9" w:rsidR="005E2503" w:rsidRDefault="0024223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31" w:history="1">
        <w:r w:rsidR="005E2503" w:rsidRPr="00413291">
          <w:rPr>
            <w:rStyle w:val="Hypertextovodkaz"/>
          </w:rPr>
          <w:t>2.</w:t>
        </w:r>
        <w:r w:rsidR="005E25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PŘEHLED VÝCHOZÍCH PODKLADŮ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_Toc126758531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4</w:t>
        </w:r>
        <w:r w:rsidR="005E2503">
          <w:rPr>
            <w:noProof/>
            <w:webHidden/>
          </w:rPr>
          <w:fldChar w:fldCharType="end"/>
        </w:r>
      </w:hyperlink>
    </w:p>
    <w:p w14:paraId="7DDE0DA5" w14:textId="4430D0FC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32" w:history="1">
        <w:r w:rsidR="005E2503" w:rsidRPr="00413291">
          <w:rPr>
            <w:rStyle w:val="Hypertextovodkaz"/>
            <w:rFonts w:asciiTheme="majorHAnsi" w:hAnsiTheme="majorHAnsi"/>
          </w:rPr>
          <w:t>2.1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Projektová dokumentace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_Toc126758532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4</w:t>
        </w:r>
        <w:r w:rsidR="005E2503">
          <w:rPr>
            <w:noProof/>
            <w:webHidden/>
          </w:rPr>
          <w:fldChar w:fldCharType="end"/>
        </w:r>
      </w:hyperlink>
    </w:p>
    <w:p w14:paraId="4ABE6A01" w14:textId="05038688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33" w:history="1">
        <w:r w:rsidR="005E2503" w:rsidRPr="00413291">
          <w:rPr>
            <w:rStyle w:val="Hypertextovodkaz"/>
            <w:rFonts w:asciiTheme="majorHAnsi" w:hAnsiTheme="majorHAnsi"/>
          </w:rPr>
          <w:t>2.2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Související dokumentace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_Toc126758533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4</w:t>
        </w:r>
        <w:r w:rsidR="005E2503">
          <w:rPr>
            <w:noProof/>
            <w:webHidden/>
          </w:rPr>
          <w:fldChar w:fldCharType="end"/>
        </w:r>
      </w:hyperlink>
    </w:p>
    <w:p w14:paraId="05F573F8" w14:textId="55FBD44D" w:rsidR="005E2503" w:rsidRDefault="0024223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34" w:history="1">
        <w:r w:rsidR="005E2503" w:rsidRPr="00413291">
          <w:rPr>
            <w:rStyle w:val="Hypertextovodkaz"/>
          </w:rPr>
          <w:t>3.</w:t>
        </w:r>
        <w:r w:rsidR="005E25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KOORDINACE S JINÝMI STAVBAMI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_Toc126758534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5</w:t>
        </w:r>
        <w:r w:rsidR="005E2503">
          <w:rPr>
            <w:noProof/>
            <w:webHidden/>
          </w:rPr>
          <w:fldChar w:fldCharType="end"/>
        </w:r>
      </w:hyperlink>
    </w:p>
    <w:p w14:paraId="346EAF23" w14:textId="61249F59" w:rsidR="005E2503" w:rsidRDefault="0024223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35" w:history="1">
        <w:r w:rsidR="005E2503" w:rsidRPr="00413291">
          <w:rPr>
            <w:rStyle w:val="Hypertextovodkaz"/>
          </w:rPr>
          <w:t>4.</w:t>
        </w:r>
        <w:r w:rsidR="005E25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Zvláštní TECHNICKÉ podmímky a požadavky na PROVEDENÍ DÍLA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_Toc126758535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5</w:t>
        </w:r>
        <w:r w:rsidR="005E2503">
          <w:rPr>
            <w:noProof/>
            <w:webHidden/>
          </w:rPr>
          <w:fldChar w:fldCharType="end"/>
        </w:r>
      </w:hyperlink>
    </w:p>
    <w:p w14:paraId="1541947B" w14:textId="002A9B8E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36" w:history="1">
        <w:r w:rsidR="005E2503" w:rsidRPr="00413291">
          <w:rPr>
            <w:rStyle w:val="Hypertextovodkaz"/>
            <w:rFonts w:asciiTheme="majorHAnsi" w:hAnsiTheme="majorHAnsi"/>
          </w:rPr>
          <w:t>4.1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Všeobecně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_Toc126758536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5</w:t>
        </w:r>
        <w:r w:rsidR="005E2503">
          <w:rPr>
            <w:noProof/>
            <w:webHidden/>
          </w:rPr>
          <w:fldChar w:fldCharType="end"/>
        </w:r>
      </w:hyperlink>
    </w:p>
    <w:p w14:paraId="0FE9E018" w14:textId="0EE7E18A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37" w:history="1">
        <w:r w:rsidR="005E2503" w:rsidRPr="00413291">
          <w:rPr>
            <w:rStyle w:val="Hypertextovodkaz"/>
            <w:rFonts w:asciiTheme="majorHAnsi" w:hAnsiTheme="majorHAnsi"/>
          </w:rPr>
          <w:t>4.2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Zeměměřická činnost zhotovitele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_Toc126758537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14</w:t>
        </w:r>
        <w:r w:rsidR="005E2503">
          <w:rPr>
            <w:noProof/>
            <w:webHidden/>
          </w:rPr>
          <w:fldChar w:fldCharType="end"/>
        </w:r>
      </w:hyperlink>
    </w:p>
    <w:p w14:paraId="1A46AF0B" w14:textId="4DD6EF1C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38" w:history="1">
        <w:r w:rsidR="005E2503" w:rsidRPr="00413291">
          <w:rPr>
            <w:rStyle w:val="Hypertextovodkaz"/>
            <w:rFonts w:asciiTheme="majorHAnsi" w:hAnsiTheme="majorHAnsi"/>
          </w:rPr>
          <w:t>4.3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Doklady předkládané zhotovitelem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_Toc126758538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15</w:t>
        </w:r>
        <w:r w:rsidR="005E2503">
          <w:rPr>
            <w:noProof/>
            <w:webHidden/>
          </w:rPr>
          <w:fldChar w:fldCharType="end"/>
        </w:r>
      </w:hyperlink>
    </w:p>
    <w:p w14:paraId="24B606EC" w14:textId="4148659A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39" w:history="1">
        <w:r w:rsidR="005E2503" w:rsidRPr="00413291">
          <w:rPr>
            <w:rStyle w:val="Hypertextovodkaz"/>
            <w:rFonts w:asciiTheme="majorHAnsi" w:hAnsiTheme="majorHAnsi"/>
          </w:rPr>
          <w:t>4.4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Dokumentace zhotovitele pro stavbu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_Toc126758539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16</w:t>
        </w:r>
        <w:r w:rsidR="005E2503">
          <w:rPr>
            <w:noProof/>
            <w:webHidden/>
          </w:rPr>
          <w:fldChar w:fldCharType="end"/>
        </w:r>
      </w:hyperlink>
    </w:p>
    <w:p w14:paraId="763461F9" w14:textId="1B38B265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0" w:history="1">
        <w:r w:rsidR="005E2503" w:rsidRPr="00413291">
          <w:rPr>
            <w:rStyle w:val="Hypertextovodkaz"/>
            <w:rFonts w:asciiTheme="majorHAnsi" w:hAnsiTheme="majorHAnsi"/>
          </w:rPr>
          <w:t>4.5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Dokumentace skutečného provedení stavby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_Toc126758540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16</w:t>
        </w:r>
        <w:r w:rsidR="005E2503">
          <w:rPr>
            <w:noProof/>
            <w:webHidden/>
          </w:rPr>
          <w:fldChar w:fldCharType="end"/>
        </w:r>
      </w:hyperlink>
    </w:p>
    <w:p w14:paraId="529F9048" w14:textId="38718458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1" w:history="1">
        <w:r w:rsidR="005E2503" w:rsidRPr="00413291">
          <w:rPr>
            <w:rStyle w:val="Hypertextovodkaz"/>
            <w:rFonts w:asciiTheme="majorHAnsi" w:hAnsiTheme="majorHAnsi"/>
          </w:rPr>
          <w:t>4.6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Zabezpečovací zařízení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_Toc126758541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17</w:t>
        </w:r>
        <w:r w:rsidR="005E2503">
          <w:rPr>
            <w:noProof/>
            <w:webHidden/>
          </w:rPr>
          <w:fldChar w:fldCharType="end"/>
        </w:r>
      </w:hyperlink>
    </w:p>
    <w:p w14:paraId="4E6EF9B0" w14:textId="12236904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2" w:history="1">
        <w:r w:rsidR="005E2503" w:rsidRPr="00413291">
          <w:rPr>
            <w:rStyle w:val="Hypertextovodkaz"/>
            <w:rFonts w:asciiTheme="majorHAnsi" w:hAnsiTheme="majorHAnsi"/>
          </w:rPr>
          <w:t>4.7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Sdělovací zařízení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_Toc126758542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17</w:t>
        </w:r>
        <w:r w:rsidR="005E2503">
          <w:rPr>
            <w:noProof/>
            <w:webHidden/>
          </w:rPr>
          <w:fldChar w:fldCharType="end"/>
        </w:r>
      </w:hyperlink>
    </w:p>
    <w:p w14:paraId="126DC57C" w14:textId="1E18555E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3" w:history="1">
        <w:r w:rsidR="005E2503" w:rsidRPr="00413291">
          <w:rPr>
            <w:rStyle w:val="Hypertextovodkaz"/>
            <w:rFonts w:asciiTheme="majorHAnsi" w:hAnsiTheme="majorHAnsi"/>
          </w:rPr>
          <w:t>4.8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Silnoproudá technologie včetně DŘT, trakční a energetická zařízení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_Toc126758543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17</w:t>
        </w:r>
        <w:r w:rsidR="005E2503">
          <w:rPr>
            <w:noProof/>
            <w:webHidden/>
          </w:rPr>
          <w:fldChar w:fldCharType="end"/>
        </w:r>
      </w:hyperlink>
    </w:p>
    <w:p w14:paraId="183DD2C8" w14:textId="3E4FA351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4" w:history="1">
        <w:r w:rsidR="005E2503" w:rsidRPr="00413291">
          <w:rPr>
            <w:rStyle w:val="Hypertextovodkaz"/>
            <w:rFonts w:asciiTheme="majorHAnsi" w:hAnsiTheme="majorHAnsi"/>
          </w:rPr>
          <w:t>4.9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Ostatní technologická zařízení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_Toc126758544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17</w:t>
        </w:r>
        <w:r w:rsidR="005E2503">
          <w:rPr>
            <w:noProof/>
            <w:webHidden/>
          </w:rPr>
          <w:fldChar w:fldCharType="end"/>
        </w:r>
      </w:hyperlink>
    </w:p>
    <w:p w14:paraId="16CC06FE" w14:textId="76431170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5" w:history="1">
        <w:r w:rsidR="005E2503" w:rsidRPr="00413291">
          <w:rPr>
            <w:rStyle w:val="Hypertextovodkaz"/>
            <w:rFonts w:asciiTheme="majorHAnsi" w:hAnsiTheme="majorHAnsi"/>
          </w:rPr>
          <w:t>4.10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Železniční svršek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_Toc126758545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17</w:t>
        </w:r>
        <w:r w:rsidR="005E2503">
          <w:rPr>
            <w:noProof/>
            <w:webHidden/>
          </w:rPr>
          <w:fldChar w:fldCharType="end"/>
        </w:r>
      </w:hyperlink>
    </w:p>
    <w:p w14:paraId="2C350AED" w14:textId="1FEDE9AE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6" w:history="1">
        <w:r w:rsidR="005E2503" w:rsidRPr="00413291">
          <w:rPr>
            <w:rStyle w:val="Hypertextovodkaz"/>
            <w:rFonts w:asciiTheme="majorHAnsi" w:hAnsiTheme="majorHAnsi"/>
          </w:rPr>
          <w:t>4.11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Železniční spodek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_Toc126758546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18</w:t>
        </w:r>
        <w:r w:rsidR="005E2503">
          <w:rPr>
            <w:noProof/>
            <w:webHidden/>
          </w:rPr>
          <w:fldChar w:fldCharType="end"/>
        </w:r>
      </w:hyperlink>
    </w:p>
    <w:p w14:paraId="09F0F8F9" w14:textId="50522371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7" w:history="1">
        <w:r w:rsidR="005E2503" w:rsidRPr="00413291">
          <w:rPr>
            <w:rStyle w:val="Hypertextovodkaz"/>
            <w:rFonts w:asciiTheme="majorHAnsi" w:hAnsiTheme="majorHAnsi"/>
          </w:rPr>
          <w:t>4.12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Nástupiště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_Toc126758547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18</w:t>
        </w:r>
        <w:r w:rsidR="005E2503">
          <w:rPr>
            <w:noProof/>
            <w:webHidden/>
          </w:rPr>
          <w:fldChar w:fldCharType="end"/>
        </w:r>
      </w:hyperlink>
    </w:p>
    <w:p w14:paraId="7C8C17E2" w14:textId="1841DABB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8" w:history="1">
        <w:r w:rsidR="005E2503" w:rsidRPr="00413291">
          <w:rPr>
            <w:rStyle w:val="Hypertextovodkaz"/>
            <w:rFonts w:asciiTheme="majorHAnsi" w:hAnsiTheme="majorHAnsi"/>
          </w:rPr>
          <w:t>4.13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Železniční přejezdy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_Toc126758548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18</w:t>
        </w:r>
        <w:r w:rsidR="005E2503">
          <w:rPr>
            <w:noProof/>
            <w:webHidden/>
          </w:rPr>
          <w:fldChar w:fldCharType="end"/>
        </w:r>
      </w:hyperlink>
    </w:p>
    <w:p w14:paraId="257D387B" w14:textId="1D6348D7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9" w:history="1">
        <w:r w:rsidR="005E2503" w:rsidRPr="00413291">
          <w:rPr>
            <w:rStyle w:val="Hypertextovodkaz"/>
            <w:rFonts w:asciiTheme="majorHAnsi" w:hAnsiTheme="majorHAnsi"/>
          </w:rPr>
          <w:t>4.14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Mosty, propustky a zdi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_Toc126758549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18</w:t>
        </w:r>
        <w:r w:rsidR="005E2503">
          <w:rPr>
            <w:noProof/>
            <w:webHidden/>
          </w:rPr>
          <w:fldChar w:fldCharType="end"/>
        </w:r>
      </w:hyperlink>
    </w:p>
    <w:p w14:paraId="4FEC986E" w14:textId="490B6C32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0" w:history="1">
        <w:r w:rsidR="005E2503" w:rsidRPr="00413291">
          <w:rPr>
            <w:rStyle w:val="Hypertextovodkaz"/>
            <w:rFonts w:asciiTheme="majorHAnsi" w:hAnsiTheme="majorHAnsi"/>
          </w:rPr>
          <w:t>4.15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Ostatní inženýrské objekty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_Toc126758550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18</w:t>
        </w:r>
        <w:r w:rsidR="005E2503">
          <w:rPr>
            <w:noProof/>
            <w:webHidden/>
          </w:rPr>
          <w:fldChar w:fldCharType="end"/>
        </w:r>
      </w:hyperlink>
    </w:p>
    <w:p w14:paraId="42A09452" w14:textId="786DFCAC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1" w:history="1">
        <w:r w:rsidR="005E2503" w:rsidRPr="00413291">
          <w:rPr>
            <w:rStyle w:val="Hypertextovodkaz"/>
            <w:rFonts w:asciiTheme="majorHAnsi" w:hAnsiTheme="majorHAnsi"/>
          </w:rPr>
          <w:t>4.16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Železniční tunely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_Toc126758551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18</w:t>
        </w:r>
        <w:r w:rsidR="005E2503">
          <w:rPr>
            <w:noProof/>
            <w:webHidden/>
          </w:rPr>
          <w:fldChar w:fldCharType="end"/>
        </w:r>
      </w:hyperlink>
    </w:p>
    <w:p w14:paraId="2566D7E5" w14:textId="2476377F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2" w:history="1">
        <w:r w:rsidR="005E2503" w:rsidRPr="00413291">
          <w:rPr>
            <w:rStyle w:val="Hypertextovodkaz"/>
            <w:rFonts w:asciiTheme="majorHAnsi" w:hAnsiTheme="majorHAnsi"/>
          </w:rPr>
          <w:t>4.17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Pozemní komunikace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_Toc126758552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18</w:t>
        </w:r>
        <w:r w:rsidR="005E2503">
          <w:rPr>
            <w:noProof/>
            <w:webHidden/>
          </w:rPr>
          <w:fldChar w:fldCharType="end"/>
        </w:r>
      </w:hyperlink>
    </w:p>
    <w:p w14:paraId="75753851" w14:textId="38EB8166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3" w:history="1">
        <w:r w:rsidR="005E2503" w:rsidRPr="00413291">
          <w:rPr>
            <w:rStyle w:val="Hypertextovodkaz"/>
            <w:rFonts w:asciiTheme="majorHAnsi" w:hAnsiTheme="majorHAnsi"/>
          </w:rPr>
          <w:t>4.18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Kabelovody, kolektory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_Toc126758553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18</w:t>
        </w:r>
        <w:r w:rsidR="005E2503">
          <w:rPr>
            <w:noProof/>
            <w:webHidden/>
          </w:rPr>
          <w:fldChar w:fldCharType="end"/>
        </w:r>
      </w:hyperlink>
    </w:p>
    <w:p w14:paraId="2CFE6A3F" w14:textId="690516E9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4" w:history="1">
        <w:r w:rsidR="005E2503" w:rsidRPr="00413291">
          <w:rPr>
            <w:rStyle w:val="Hypertextovodkaz"/>
            <w:rFonts w:asciiTheme="majorHAnsi" w:hAnsiTheme="majorHAnsi"/>
          </w:rPr>
          <w:t>4.19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Protihlukové objekty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_Toc126758554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18</w:t>
        </w:r>
        <w:r w:rsidR="005E2503">
          <w:rPr>
            <w:noProof/>
            <w:webHidden/>
          </w:rPr>
          <w:fldChar w:fldCharType="end"/>
        </w:r>
      </w:hyperlink>
    </w:p>
    <w:p w14:paraId="373EBF3D" w14:textId="40F2C13B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5" w:history="1">
        <w:r w:rsidR="005E2503" w:rsidRPr="00413291">
          <w:rPr>
            <w:rStyle w:val="Hypertextovodkaz"/>
            <w:rFonts w:asciiTheme="majorHAnsi" w:hAnsiTheme="majorHAnsi"/>
          </w:rPr>
          <w:t>4.20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Pozemní stavební objekty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_Toc126758555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18</w:t>
        </w:r>
        <w:r w:rsidR="005E2503">
          <w:rPr>
            <w:noProof/>
            <w:webHidden/>
          </w:rPr>
          <w:fldChar w:fldCharType="end"/>
        </w:r>
      </w:hyperlink>
    </w:p>
    <w:p w14:paraId="7D3B6484" w14:textId="73852C60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6" w:history="1">
        <w:r w:rsidR="005E2503" w:rsidRPr="00413291">
          <w:rPr>
            <w:rStyle w:val="Hypertextovodkaz"/>
            <w:rFonts w:asciiTheme="majorHAnsi" w:hAnsiTheme="majorHAnsi"/>
          </w:rPr>
          <w:t>4.21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Trakční a energická zařízení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_Toc126758556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18</w:t>
        </w:r>
        <w:r w:rsidR="005E2503">
          <w:rPr>
            <w:noProof/>
            <w:webHidden/>
          </w:rPr>
          <w:fldChar w:fldCharType="end"/>
        </w:r>
      </w:hyperlink>
    </w:p>
    <w:p w14:paraId="6A8C2897" w14:textId="0928DB92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7" w:history="1">
        <w:r w:rsidR="005E2503" w:rsidRPr="00413291">
          <w:rPr>
            <w:rStyle w:val="Hypertextovodkaz"/>
            <w:rFonts w:asciiTheme="majorHAnsi" w:hAnsiTheme="majorHAnsi"/>
          </w:rPr>
          <w:t>4.22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Životní prostředí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_Toc126758557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19</w:t>
        </w:r>
        <w:r w:rsidR="005E2503">
          <w:rPr>
            <w:noProof/>
            <w:webHidden/>
          </w:rPr>
          <w:fldChar w:fldCharType="end"/>
        </w:r>
      </w:hyperlink>
    </w:p>
    <w:p w14:paraId="1DFE26D0" w14:textId="0E68E311" w:rsidR="005E2503" w:rsidRDefault="002422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8" w:history="1">
        <w:r w:rsidR="005E2503" w:rsidRPr="00413291">
          <w:rPr>
            <w:rStyle w:val="Hypertextovodkaz"/>
            <w:rFonts w:asciiTheme="majorHAnsi" w:hAnsiTheme="majorHAnsi"/>
          </w:rPr>
          <w:t>4.23</w:t>
        </w:r>
        <w:r w:rsidR="005E25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Materiál dodávaný objednatelem (mimo CNM)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_Toc126758558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20</w:t>
        </w:r>
        <w:r w:rsidR="005E2503">
          <w:rPr>
            <w:noProof/>
            <w:webHidden/>
          </w:rPr>
          <w:fldChar w:fldCharType="end"/>
        </w:r>
      </w:hyperlink>
    </w:p>
    <w:p w14:paraId="3A23BA00" w14:textId="09D68A7E" w:rsidR="005E2503" w:rsidRDefault="0024223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59" w:history="1">
        <w:r w:rsidR="005E2503" w:rsidRPr="00413291">
          <w:rPr>
            <w:rStyle w:val="Hypertextovodkaz"/>
          </w:rPr>
          <w:t>5.</w:t>
        </w:r>
        <w:r w:rsidR="005E25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ORGANIZACE VÝSTAVBY, VÝLUKY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_Toc126758559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20</w:t>
        </w:r>
        <w:r w:rsidR="005E2503">
          <w:rPr>
            <w:noProof/>
            <w:webHidden/>
          </w:rPr>
          <w:fldChar w:fldCharType="end"/>
        </w:r>
      </w:hyperlink>
    </w:p>
    <w:p w14:paraId="07A373EF" w14:textId="145C3C85" w:rsidR="005E2503" w:rsidRDefault="0024223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60" w:history="1">
        <w:r w:rsidR="005E2503" w:rsidRPr="00413291">
          <w:rPr>
            <w:rStyle w:val="Hypertextovodkaz"/>
          </w:rPr>
          <w:t>6.</w:t>
        </w:r>
        <w:r w:rsidR="005E25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SOUVISEJÍCÍ DOKUMENTY A PŘEDPISY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_Toc126758560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21</w:t>
        </w:r>
        <w:r w:rsidR="005E2503">
          <w:rPr>
            <w:noProof/>
            <w:webHidden/>
          </w:rPr>
          <w:fldChar w:fldCharType="end"/>
        </w:r>
      </w:hyperlink>
    </w:p>
    <w:p w14:paraId="24A35AD0" w14:textId="7AB6513A" w:rsidR="005E2503" w:rsidRDefault="0024223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61" w:history="1">
        <w:r w:rsidR="005E2503" w:rsidRPr="00413291">
          <w:rPr>
            <w:rStyle w:val="Hypertextovodkaz"/>
          </w:rPr>
          <w:t>7.</w:t>
        </w:r>
        <w:r w:rsidR="005E25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E2503" w:rsidRPr="00413291">
          <w:rPr>
            <w:rStyle w:val="Hypertextovodkaz"/>
          </w:rPr>
          <w:t>PŘÍLOHY</w:t>
        </w:r>
        <w:r w:rsidR="005E2503">
          <w:rPr>
            <w:noProof/>
            <w:webHidden/>
          </w:rPr>
          <w:tab/>
        </w:r>
        <w:r w:rsidR="005E2503">
          <w:rPr>
            <w:noProof/>
            <w:webHidden/>
          </w:rPr>
          <w:fldChar w:fldCharType="begin"/>
        </w:r>
        <w:r w:rsidR="005E2503">
          <w:rPr>
            <w:noProof/>
            <w:webHidden/>
          </w:rPr>
          <w:instrText xml:space="preserve"> PAGEREF _Toc126758561 \h </w:instrText>
        </w:r>
        <w:r w:rsidR="005E2503">
          <w:rPr>
            <w:noProof/>
            <w:webHidden/>
          </w:rPr>
        </w:r>
        <w:r w:rsidR="005E2503">
          <w:rPr>
            <w:noProof/>
            <w:webHidden/>
          </w:rPr>
          <w:fldChar w:fldCharType="separate"/>
        </w:r>
        <w:r w:rsidR="005E2503">
          <w:rPr>
            <w:noProof/>
            <w:webHidden/>
          </w:rPr>
          <w:t>21</w:t>
        </w:r>
        <w:r w:rsidR="005E2503">
          <w:rPr>
            <w:noProof/>
            <w:webHidden/>
          </w:rPr>
          <w:fldChar w:fldCharType="end"/>
        </w:r>
      </w:hyperlink>
    </w:p>
    <w:p w14:paraId="30D8D7FD" w14:textId="503B7635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6758526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74D28F" w14:textId="77777777" w:rsidR="00AD0C7B" w:rsidRDefault="00F92E3A" w:rsidP="00AD0C7B">
            <w:pPr>
              <w:pStyle w:val="Zkratky1"/>
            </w:pPr>
            <w:r>
              <w:t>ÚMVŽST……</w:t>
            </w:r>
          </w:p>
          <w:p w14:paraId="0402AA1D" w14:textId="77777777" w:rsidR="00240A75" w:rsidRDefault="00240A75" w:rsidP="00AD0C7B">
            <w:pPr>
              <w:pStyle w:val="Zkratky1"/>
            </w:pPr>
            <w:r>
              <w:t>ZTI ………….</w:t>
            </w:r>
          </w:p>
          <w:p w14:paraId="5BE50D1E" w14:textId="77777777" w:rsidR="00240A75" w:rsidRDefault="00240A75" w:rsidP="00AD0C7B">
            <w:pPr>
              <w:pStyle w:val="Zkratky1"/>
            </w:pPr>
            <w:r>
              <w:t>VZT ………….</w:t>
            </w:r>
          </w:p>
          <w:p w14:paraId="46DD4FE8" w14:textId="18D071EC" w:rsidR="00240A75" w:rsidRPr="00AD0C7B" w:rsidRDefault="00240A75" w:rsidP="00AD0C7B">
            <w:pPr>
              <w:pStyle w:val="Zkratky1"/>
            </w:pPr>
            <w:r>
              <w:t>SLP 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6F2C26" w14:textId="66B33270" w:rsidR="00240A75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3A2F2D2" w14:textId="304FDC9D" w:rsidR="00240A75" w:rsidRPr="00F92E3A" w:rsidRDefault="00EF6AE6" w:rsidP="00F92E3A">
            <w:pPr>
              <w:pStyle w:val="Zkratky2"/>
            </w:pPr>
            <w:r>
              <w:t>Zdravotně technická instalace</w:t>
            </w:r>
          </w:p>
          <w:p w14:paraId="3ACDB04E" w14:textId="77777777" w:rsidR="00AD0C7B" w:rsidRDefault="00EF6AE6" w:rsidP="000F15F1">
            <w:pPr>
              <w:pStyle w:val="Zkratky2"/>
            </w:pPr>
            <w:r>
              <w:t>Vzduchotechnika</w:t>
            </w:r>
          </w:p>
          <w:p w14:paraId="02C5BC82" w14:textId="4548CD86" w:rsidR="00EF6AE6" w:rsidRPr="006115D3" w:rsidRDefault="00EF6AE6" w:rsidP="000F15F1">
            <w:pPr>
              <w:pStyle w:val="Zkratky2"/>
            </w:pPr>
            <w:r>
              <w:t>Slaboproud</w:t>
            </w:r>
          </w:p>
        </w:tc>
      </w:tr>
    </w:tbl>
    <w:p w14:paraId="78B680FB" w14:textId="77777777" w:rsidR="00F92E3A" w:rsidRDefault="00F92E3A" w:rsidP="003B0494">
      <w:pPr>
        <w:pStyle w:val="Nadpisbezsl1-1"/>
        <w:outlineLvl w:val="0"/>
      </w:pPr>
      <w:bookmarkStart w:id="2" w:name="_Toc126758527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7D485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 xml:space="preserve">(DUSL, </w:t>
      </w:r>
      <w:proofErr w:type="gramStart"/>
      <w:r w:rsidRPr="00746474">
        <w:rPr>
          <w:sz w:val="18"/>
          <w:szCs w:val="18"/>
        </w:rPr>
        <w:t>DUSP</w:t>
      </w:r>
      <w:proofErr w:type="gramEnd"/>
      <w:r w:rsidRPr="00746474">
        <w:rPr>
          <w:sz w:val="18"/>
          <w:szCs w:val="18"/>
        </w:rPr>
        <w:t xml:space="preserve">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7D485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7D485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5D336A">
        <w:rPr>
          <w:rFonts w:cs="Verdana"/>
          <w:b/>
          <w:sz w:val="18"/>
          <w:szCs w:val="18"/>
        </w:rPr>
        <w:t>podčlánky</w:t>
      </w:r>
      <w:proofErr w:type="spellEnd"/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26758528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26758529"/>
      <w:r>
        <w:t>Účel a rozsah předmětu Díla</w:t>
      </w:r>
      <w:bookmarkEnd w:id="10"/>
      <w:bookmarkEnd w:id="11"/>
    </w:p>
    <w:p w14:paraId="144B4FC2" w14:textId="05381404" w:rsidR="00DF7BAA" w:rsidRPr="00A16611" w:rsidRDefault="00DF7BAA" w:rsidP="00DF7BAA">
      <w:pPr>
        <w:pStyle w:val="Text2-1"/>
      </w:pPr>
      <w:r w:rsidRPr="00A16611">
        <w:t xml:space="preserve">Předmětem díla je zhotovení stavby </w:t>
      </w:r>
      <w:r w:rsidRPr="00B5597F">
        <w:t>„</w:t>
      </w:r>
      <w:r w:rsidR="00B5597F" w:rsidRPr="00B5597F">
        <w:t>Oprava provozních objektů v obvodu OŘ OVA 2023 – Ostrava ADM Skladištní – vnitřní stavební úpravy 2. etapa</w:t>
      </w:r>
      <w:r w:rsidRPr="00B5597F">
        <w:t>“</w:t>
      </w:r>
      <w:r w:rsidR="00EC4FA5" w:rsidRPr="00B5597F">
        <w:t>,</w:t>
      </w:r>
      <w:r w:rsidRPr="00A16611">
        <w:t xml:space="preserve"> jejímž cílem </w:t>
      </w:r>
      <w:r w:rsidR="00641917">
        <w:t>z</w:t>
      </w:r>
      <w:r w:rsidR="00641917" w:rsidRPr="004042E7">
        <w:t>lepšení stavebně technick</w:t>
      </w:r>
      <w:r w:rsidR="00641917">
        <w:t>ého a funkčního stavu objektu,</w:t>
      </w:r>
    </w:p>
    <w:p w14:paraId="29AAB0CD" w14:textId="69A65F83" w:rsidR="00E70AB8" w:rsidRPr="0024223D" w:rsidRDefault="00A16611" w:rsidP="00F52698">
      <w:pPr>
        <w:pStyle w:val="Text2-1"/>
      </w:pPr>
      <w:r w:rsidRPr="00517E55">
        <w:t xml:space="preserve">Rozsah Díla </w:t>
      </w:r>
      <w:r w:rsidRPr="00B5597F">
        <w:t>„</w:t>
      </w:r>
      <w:r w:rsidR="00B5597F" w:rsidRPr="00B5597F">
        <w:t>Oprava provozních objektů v obvodu OŘ OVA 2023 – Ostrava ADM Skladištní – vnitřní stavební úpravy 2. etapa</w:t>
      </w:r>
      <w:r w:rsidRPr="00B5597F">
        <w:t>“</w:t>
      </w:r>
      <w:r w:rsidRPr="00517E55">
        <w:t xml:space="preserve"> je </w:t>
      </w:r>
      <w:r w:rsidR="00240A75">
        <w:t xml:space="preserve">provedení oprav dle vyhotovené realizační dokumentace „Ostrava Skladištní – oprava administrativní budovy“, </w:t>
      </w:r>
      <w:r w:rsidR="00240A75" w:rsidRPr="0024223D">
        <w:t>vyhotovené fa PROJEKT STUDIO, zodpovědný projektant Ing. Pavel Krátký, IČ 47684577</w:t>
      </w:r>
      <w:r w:rsidR="00641917" w:rsidRPr="0024223D">
        <w:t>, spočívající v opravách stávajících sociálních zařízení, včetně patrových denních místností s kuchyňkami a úklidové místnosti, opravě  ZTI (zdravotechniky), ÚT (ústřední topení), VZT (vzduchotechniky) a ELE (elektroinstalace).</w:t>
      </w:r>
    </w:p>
    <w:p w14:paraId="7959D86F" w14:textId="71FD92F6" w:rsidR="00CE2A6B" w:rsidRPr="0024223D" w:rsidRDefault="00CE2A6B" w:rsidP="00517E55">
      <w:pPr>
        <w:pStyle w:val="Text2-1"/>
      </w:pPr>
      <w:r w:rsidRPr="0024223D">
        <w:t>Rozsah Díla je rozdělen do těchto stavebních objektů či provozních souborů:</w:t>
      </w:r>
    </w:p>
    <w:p w14:paraId="3A3653C2" w14:textId="66D5D200" w:rsidR="001A178E" w:rsidRPr="0024223D" w:rsidRDefault="001A178E" w:rsidP="00CE2A6B">
      <w:pPr>
        <w:pStyle w:val="Text2-1"/>
        <w:numPr>
          <w:ilvl w:val="0"/>
          <w:numId w:val="0"/>
        </w:numPr>
        <w:ind w:left="737"/>
      </w:pPr>
      <w:r w:rsidRPr="0024223D">
        <w:t>J</w:t>
      </w:r>
      <w:r w:rsidRPr="0024223D">
        <w:t>eden</w:t>
      </w:r>
      <w:r w:rsidRPr="0024223D">
        <w:t xml:space="preserve"> stavební objekt v členění: </w:t>
      </w:r>
    </w:p>
    <w:p w14:paraId="27FBE493" w14:textId="61594EF1" w:rsidR="00CE2A6B" w:rsidRPr="0024223D" w:rsidRDefault="00CE2A6B" w:rsidP="00CE2A6B">
      <w:pPr>
        <w:pStyle w:val="Text2-1"/>
        <w:numPr>
          <w:ilvl w:val="0"/>
          <w:numId w:val="0"/>
        </w:numPr>
        <w:ind w:left="737"/>
      </w:pPr>
      <w:r w:rsidRPr="0024223D">
        <w:t>SO</w:t>
      </w:r>
      <w:r w:rsidR="00240A75" w:rsidRPr="0024223D">
        <w:t xml:space="preserve"> 01 Administrativní budova</w:t>
      </w:r>
    </w:p>
    <w:p w14:paraId="06FEE6F8" w14:textId="1D8C7DAF" w:rsidR="00CE2A6B" w:rsidRPr="0024223D" w:rsidRDefault="00240A75" w:rsidP="00CE2A6B">
      <w:pPr>
        <w:pStyle w:val="Text2-2"/>
        <w:numPr>
          <w:ilvl w:val="0"/>
          <w:numId w:val="0"/>
        </w:numPr>
        <w:ind w:left="737"/>
      </w:pPr>
      <w:r w:rsidRPr="0024223D">
        <w:t>E.</w:t>
      </w:r>
      <w:r w:rsidR="002129B0" w:rsidRPr="0024223D">
        <w:t xml:space="preserve"> </w:t>
      </w:r>
      <w:r w:rsidRPr="0024223D">
        <w:t>2.</w:t>
      </w:r>
      <w:r w:rsidR="002129B0" w:rsidRPr="0024223D">
        <w:t xml:space="preserve"> </w:t>
      </w:r>
      <w:r w:rsidRPr="0024223D">
        <w:t>1 – Pozemní objekty budov</w:t>
      </w:r>
    </w:p>
    <w:p w14:paraId="0E0E4236" w14:textId="7493CD38" w:rsidR="00240A75" w:rsidRPr="002129B0" w:rsidRDefault="00240A75" w:rsidP="00CE2A6B">
      <w:pPr>
        <w:pStyle w:val="Text2-2"/>
        <w:numPr>
          <w:ilvl w:val="0"/>
          <w:numId w:val="0"/>
        </w:numPr>
        <w:ind w:left="737"/>
      </w:pPr>
      <w:r w:rsidRPr="0024223D">
        <w:t>E.</w:t>
      </w:r>
      <w:r w:rsidR="002129B0" w:rsidRPr="0024223D">
        <w:t xml:space="preserve"> </w:t>
      </w:r>
      <w:r w:rsidRPr="0024223D">
        <w:t>2.</w:t>
      </w:r>
      <w:r w:rsidR="002129B0" w:rsidRPr="0024223D">
        <w:t xml:space="preserve"> </w:t>
      </w:r>
      <w:r w:rsidRPr="0024223D">
        <w:t>6 – ZTI</w:t>
      </w:r>
    </w:p>
    <w:p w14:paraId="03990B21" w14:textId="72828890" w:rsidR="00240A75" w:rsidRPr="002129B0" w:rsidRDefault="00240A75" w:rsidP="00CE2A6B">
      <w:pPr>
        <w:pStyle w:val="Text2-2"/>
        <w:numPr>
          <w:ilvl w:val="0"/>
          <w:numId w:val="0"/>
        </w:numPr>
        <w:ind w:left="737"/>
      </w:pPr>
      <w:r w:rsidRPr="002129B0">
        <w:t>E.</w:t>
      </w:r>
      <w:r w:rsidR="002129B0">
        <w:t xml:space="preserve"> </w:t>
      </w:r>
      <w:r w:rsidRPr="002129B0">
        <w:t>2.</w:t>
      </w:r>
      <w:r w:rsidR="002129B0">
        <w:t xml:space="preserve"> </w:t>
      </w:r>
      <w:r w:rsidRPr="002129B0">
        <w:t>7 – Vytápění</w:t>
      </w:r>
    </w:p>
    <w:p w14:paraId="7F5DEBD1" w14:textId="1667153D" w:rsidR="00240A75" w:rsidRPr="002129B0" w:rsidRDefault="00240A75" w:rsidP="00CE2A6B">
      <w:pPr>
        <w:pStyle w:val="Text2-2"/>
        <w:numPr>
          <w:ilvl w:val="0"/>
          <w:numId w:val="0"/>
        </w:numPr>
        <w:ind w:left="737"/>
      </w:pPr>
      <w:r w:rsidRPr="002129B0">
        <w:t>E.</w:t>
      </w:r>
      <w:r w:rsidR="002129B0">
        <w:t xml:space="preserve"> </w:t>
      </w:r>
      <w:r w:rsidRPr="002129B0">
        <w:t>2.</w:t>
      </w:r>
      <w:r w:rsidR="002129B0">
        <w:t xml:space="preserve"> </w:t>
      </w:r>
      <w:r w:rsidRPr="002129B0">
        <w:t>8 – VZT</w:t>
      </w:r>
    </w:p>
    <w:p w14:paraId="1F055141" w14:textId="5D2D3202" w:rsidR="00240A75" w:rsidRPr="002129B0" w:rsidRDefault="00240A75" w:rsidP="00CE2A6B">
      <w:pPr>
        <w:pStyle w:val="Text2-2"/>
        <w:numPr>
          <w:ilvl w:val="0"/>
          <w:numId w:val="0"/>
        </w:numPr>
        <w:ind w:left="737"/>
      </w:pPr>
      <w:r w:rsidRPr="002129B0">
        <w:t>E.</w:t>
      </w:r>
      <w:r w:rsidR="002129B0">
        <w:t xml:space="preserve"> </w:t>
      </w:r>
      <w:r w:rsidRPr="002129B0">
        <w:t>2.</w:t>
      </w:r>
      <w:r w:rsidR="002129B0">
        <w:t xml:space="preserve"> </w:t>
      </w:r>
      <w:r w:rsidRPr="002129B0">
        <w:t>10 – Elektroinstalace</w:t>
      </w:r>
    </w:p>
    <w:p w14:paraId="3F59BE95" w14:textId="1A12F6EF" w:rsidR="00240A75" w:rsidRPr="002129B0" w:rsidRDefault="00240A75" w:rsidP="00CE2A6B">
      <w:pPr>
        <w:pStyle w:val="Text2-2"/>
        <w:numPr>
          <w:ilvl w:val="0"/>
          <w:numId w:val="0"/>
        </w:numPr>
        <w:ind w:left="737"/>
      </w:pPr>
      <w:r w:rsidRPr="002129B0">
        <w:t>E.</w:t>
      </w:r>
      <w:r w:rsidR="002129B0">
        <w:t xml:space="preserve"> </w:t>
      </w:r>
      <w:r w:rsidRPr="002129B0">
        <w:t>2.</w:t>
      </w:r>
      <w:r w:rsidR="002129B0">
        <w:t xml:space="preserve"> </w:t>
      </w:r>
      <w:r w:rsidRPr="002129B0">
        <w:t>12 - SLP</w:t>
      </w:r>
    </w:p>
    <w:p w14:paraId="3FFBD556" w14:textId="33E92913" w:rsidR="00517E55" w:rsidRPr="007E402F" w:rsidRDefault="00517E55" w:rsidP="00517E55">
      <w:pPr>
        <w:pStyle w:val="Text2-1"/>
      </w:pPr>
      <w:r w:rsidRPr="00517E55"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26758530"/>
      <w:r>
        <w:t>Umístění stavby</w:t>
      </w:r>
      <w:bookmarkEnd w:id="12"/>
      <w:bookmarkEnd w:id="13"/>
    </w:p>
    <w:p w14:paraId="4DFE4759" w14:textId="657A5D2D" w:rsidR="006972D4" w:rsidRDefault="00DF7BAA" w:rsidP="005A6C0C">
      <w:pPr>
        <w:pStyle w:val="Text2-1"/>
      </w:pPr>
      <w:r>
        <w:t xml:space="preserve">Stavba bude probíhat na trati </w:t>
      </w:r>
      <w:r w:rsidR="00235C30">
        <w:t>2</w:t>
      </w:r>
      <w:r w:rsidR="00BC1421">
        <w:t>71</w:t>
      </w:r>
      <w:r w:rsidR="00235C30">
        <w:t xml:space="preserve"> </w:t>
      </w:r>
      <w:proofErr w:type="gramStart"/>
      <w:r w:rsidR="00BC1421">
        <w:t>Přerov - Bohumín</w:t>
      </w:r>
      <w:proofErr w:type="gramEnd"/>
    </w:p>
    <w:p w14:paraId="46BB6011" w14:textId="540CBDC6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Kraj:</w:t>
      </w:r>
      <w:r w:rsidR="00235C30">
        <w:tab/>
        <w:t>Moravskoslezský</w:t>
      </w:r>
    </w:p>
    <w:p w14:paraId="50C118F7" w14:textId="42FDB2B6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Okres:</w:t>
      </w:r>
      <w:r w:rsidR="00235C30">
        <w:tab/>
      </w:r>
      <w:proofErr w:type="gramStart"/>
      <w:r w:rsidR="00235C30">
        <w:t>Ostrava</w:t>
      </w:r>
      <w:r w:rsidR="000C1D6D">
        <w:t xml:space="preserve"> - město</w:t>
      </w:r>
      <w:proofErr w:type="gramEnd"/>
    </w:p>
    <w:p w14:paraId="2BC5441F" w14:textId="0A188788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Obec:</w:t>
      </w:r>
      <w:r w:rsidR="00235C30">
        <w:tab/>
        <w:t>Ostrava</w:t>
      </w:r>
    </w:p>
    <w:p w14:paraId="03957CE5" w14:textId="1F9A7300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TUDU: </w:t>
      </w:r>
      <w:r w:rsidR="00235C30">
        <w:tab/>
        <w:t>1891TK</w:t>
      </w:r>
    </w:p>
    <w:p w14:paraId="09F5040D" w14:textId="02A18065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Katastrální území: </w:t>
      </w:r>
      <w:r w:rsidR="000C1D6D">
        <w:t xml:space="preserve">713767 </w:t>
      </w:r>
      <w:r w:rsidR="00235C30">
        <w:t>Přívoz</w:t>
      </w:r>
    </w:p>
    <w:p w14:paraId="691293AA" w14:textId="3459AA92" w:rsidR="00517E55" w:rsidRDefault="00517E55" w:rsidP="00517E55">
      <w:pPr>
        <w:pStyle w:val="Text2-1"/>
        <w:numPr>
          <w:ilvl w:val="0"/>
          <w:numId w:val="0"/>
        </w:numPr>
        <w:ind w:firstLine="709"/>
      </w:pPr>
      <w:proofErr w:type="spellStart"/>
      <w:r>
        <w:t>P.č</w:t>
      </w:r>
      <w:proofErr w:type="spellEnd"/>
      <w:r>
        <w:t xml:space="preserve">. dotčeného pozemku: </w:t>
      </w:r>
      <w:r w:rsidR="00235C30">
        <w:t>st. 1532</w:t>
      </w:r>
      <w:r>
        <w:t xml:space="preserve"> </w:t>
      </w:r>
    </w:p>
    <w:p w14:paraId="4B38DE9B" w14:textId="11FC5C61" w:rsidR="00517E55" w:rsidRPr="00517E55" w:rsidRDefault="00235C30" w:rsidP="000C1D6D">
      <w:pPr>
        <w:pStyle w:val="Text2-1"/>
        <w:numPr>
          <w:ilvl w:val="0"/>
          <w:numId w:val="0"/>
        </w:numPr>
        <w:ind w:left="709"/>
        <w:rPr>
          <w:i/>
          <w:color w:val="00B0F0"/>
        </w:rPr>
      </w:pPr>
      <w:r w:rsidRPr="000C1D6D">
        <w:t xml:space="preserve">Bližší </w:t>
      </w:r>
      <w:proofErr w:type="gramStart"/>
      <w:r w:rsidRPr="000C1D6D">
        <w:t xml:space="preserve">popis: </w:t>
      </w:r>
      <w:r w:rsidR="00517E55" w:rsidRPr="000C1D6D">
        <w:t xml:space="preserve"> </w:t>
      </w:r>
      <w:r w:rsidR="000C1D6D">
        <w:t>Budova</w:t>
      </w:r>
      <w:proofErr w:type="gramEnd"/>
      <w:r w:rsidR="000C1D6D">
        <w:t xml:space="preserve"> je situována v lokalitě železniční stanice Ostrava Hl. n. v Ostravě – Přívoze. Administrativní budova s jedním podzemním a třemi nadzemními patry, s rovnou střechou je součástí uzavřeného oploceného areálu Správy železnic. Areál není přístupný veřejnosti. </w:t>
      </w:r>
    </w:p>
    <w:p w14:paraId="2F0403DD" w14:textId="4CE83A31" w:rsidR="00DF7BAA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Zařazení tratě: </w:t>
      </w:r>
      <w:r w:rsidR="00235C30" w:rsidRPr="000C1D6D">
        <w:t>celostátní dráhy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26758531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26758532"/>
      <w:r>
        <w:t>Projektová dokumentace</w:t>
      </w:r>
      <w:bookmarkEnd w:id="16"/>
      <w:bookmarkEnd w:id="17"/>
    </w:p>
    <w:p w14:paraId="7153DAFA" w14:textId="18E263DF" w:rsidR="00615BEC" w:rsidRDefault="00615BEC" w:rsidP="00615BEC">
      <w:pPr>
        <w:pStyle w:val="Text2-1"/>
      </w:pPr>
      <w:r>
        <w:t>Projektová dokumentace „</w:t>
      </w:r>
      <w:r w:rsidR="00BC1421">
        <w:t>Ostrava Skladištní – oprava administrativní budovy</w:t>
      </w:r>
      <w:r>
        <w:t xml:space="preserve">“, zpracovatel </w:t>
      </w:r>
      <w:r w:rsidR="00BC1421">
        <w:t>Ing. Pavel Krátký</w:t>
      </w:r>
      <w:r>
        <w:t xml:space="preserve">, datum </w:t>
      </w:r>
      <w:r w:rsidR="00BC1421">
        <w:t>07/2021</w:t>
      </w:r>
      <w:r w:rsidR="00860F4E">
        <w:t>, stupeň PD</w:t>
      </w:r>
      <w:r w:rsidR="001A178E">
        <w:t>:</w:t>
      </w:r>
      <w:r w:rsidR="00860F4E">
        <w:t xml:space="preserve"> </w:t>
      </w:r>
      <w:r w:rsidR="00BC1421">
        <w:t>DSP+PDPS</w:t>
      </w:r>
      <w:r w:rsidR="001A178E">
        <w:t>.</w:t>
      </w:r>
    </w:p>
    <w:p w14:paraId="52904154" w14:textId="77777777" w:rsidR="00DF7BAA" w:rsidRPr="00860F4E" w:rsidRDefault="00DF7BAA" w:rsidP="00DF7BAA">
      <w:pPr>
        <w:pStyle w:val="Nadpis2-2"/>
      </w:pPr>
      <w:bookmarkStart w:id="18" w:name="_Toc6410434"/>
      <w:bookmarkStart w:id="19" w:name="_Toc126758533"/>
      <w:r w:rsidRPr="00860F4E">
        <w:lastRenderedPageBreak/>
        <w:t>Související dokumentace</w:t>
      </w:r>
      <w:bookmarkEnd w:id="18"/>
      <w:bookmarkEnd w:id="19"/>
    </w:p>
    <w:p w14:paraId="241A176F" w14:textId="31D91BC9" w:rsidR="008170FD" w:rsidRDefault="008170FD" w:rsidP="008170FD">
      <w:pPr>
        <w:pStyle w:val="Text2-1"/>
      </w:pPr>
      <w:r>
        <w:t>Stavba</w:t>
      </w:r>
      <w:r w:rsidR="001A178E">
        <w:t xml:space="preserve"> v rozsahu výše uvedeného zadání veřejné zakázky </w:t>
      </w:r>
      <w:r>
        <w:t xml:space="preserve">nepodléhá stavebnímu či jinému řízení. </w:t>
      </w:r>
    </w:p>
    <w:p w14:paraId="68275920" w14:textId="77777777" w:rsidR="00DF7BAA" w:rsidRDefault="00DF7BAA" w:rsidP="00DF7BAA">
      <w:pPr>
        <w:pStyle w:val="Nadpis2-1"/>
      </w:pPr>
      <w:bookmarkStart w:id="20" w:name="_Toc6410435"/>
      <w:bookmarkStart w:id="21" w:name="_Toc126758534"/>
      <w:r>
        <w:t>KOORDINACE S JINÝMI STAVBAMI</w:t>
      </w:r>
      <w:bookmarkEnd w:id="20"/>
      <w:bookmarkEnd w:id="21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</w:t>
      </w:r>
      <w:proofErr w:type="gramStart"/>
      <w:r>
        <w:t>akcemi</w:t>
      </w:r>
      <w:proofErr w:type="gramEnd"/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76BB2726" w14:textId="77777777" w:rsidR="00A10D37" w:rsidRPr="008170FD" w:rsidRDefault="00A10D37" w:rsidP="00A10D37">
      <w:pPr>
        <w:pStyle w:val="Text2-1"/>
      </w:pPr>
      <w:r w:rsidRPr="008170FD">
        <w:t xml:space="preserve">U této </w:t>
      </w:r>
      <w:r w:rsidR="00234F48" w:rsidRPr="008170F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2" w:name="_Toc6410436"/>
      <w:bookmarkStart w:id="23" w:name="_Toc126758535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2"/>
      <w:bookmarkEnd w:id="23"/>
    </w:p>
    <w:p w14:paraId="6FD8A9DE" w14:textId="77777777" w:rsidR="00DF7BAA" w:rsidRDefault="00DF7BAA" w:rsidP="00DF7BAA">
      <w:pPr>
        <w:pStyle w:val="Nadpis2-2"/>
      </w:pPr>
      <w:bookmarkStart w:id="24" w:name="_Toc6410437"/>
      <w:bookmarkStart w:id="25" w:name="_Toc126758536"/>
      <w:r>
        <w:t>Všeobecně</w:t>
      </w:r>
      <w:bookmarkEnd w:id="24"/>
      <w:bookmarkEnd w:id="25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</w:t>
      </w:r>
      <w:proofErr w:type="gramStart"/>
      <w:r w:rsidRPr="003B0494">
        <w:t>postupů</w:t>
      </w:r>
      <w:proofErr w:type="gramEnd"/>
      <w:r w:rsidRPr="003B0494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47019BA8" w:rsidR="003B0494" w:rsidRPr="003B0494" w:rsidRDefault="003B0494" w:rsidP="007345FE">
      <w:pPr>
        <w:pStyle w:val="Text2-2"/>
        <w:ind w:left="1701" w:hanging="992"/>
      </w:pPr>
      <w:r w:rsidRPr="003B0494">
        <w:t xml:space="preserve">V čl. 1.1.2 TKP, odst. 1 se u odrážky „Projektová dokumentace (dále jen „Dokumentace“) </w:t>
      </w:r>
      <w:proofErr w:type="gramStart"/>
      <w:r w:rsidRPr="003B0494">
        <w:t>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6" w:name="_Hlk115084506"/>
      <w:r w:rsidRPr="003B0494">
        <w:t>nejméně 5 pracovních dnů před termínem</w:t>
      </w:r>
      <w:bookmarkEnd w:id="26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Čl. 1.7.3.2 TKP, odst. 1 se </w:t>
      </w:r>
      <w:proofErr w:type="gramStart"/>
      <w:r w:rsidRPr="003B0494">
        <w:t>ruší</w:t>
      </w:r>
      <w:proofErr w:type="gramEnd"/>
      <w:r w:rsidR="00F04838">
        <w:t>.</w:t>
      </w:r>
    </w:p>
    <w:p w14:paraId="13EDD7E0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7" w:name="_Hlk115950514"/>
      <w:r w:rsidRPr="003B0494">
        <w:t xml:space="preserve">1.7.3.2 TKP, odst. 7 </w:t>
      </w:r>
      <w:bookmarkEnd w:id="27"/>
      <w:r w:rsidRPr="003B0494">
        <w:t xml:space="preserve">se </w:t>
      </w:r>
      <w:proofErr w:type="gramStart"/>
      <w:r w:rsidRPr="003B0494">
        <w:t>ruší</w:t>
      </w:r>
      <w:proofErr w:type="gramEnd"/>
      <w:r w:rsidRPr="003B0494">
        <w:t>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7345FE">
      <w:pPr>
        <w:pStyle w:val="Text2-2"/>
        <w:ind w:left="1701" w:hanging="992"/>
      </w:pPr>
      <w:r w:rsidRPr="00EB6387">
        <w:t xml:space="preserve">V čl. 1.7.3.5 TKP, se </w:t>
      </w:r>
      <w:proofErr w:type="gramStart"/>
      <w:r w:rsidRPr="00EB6387">
        <w:t>ruší</w:t>
      </w:r>
      <w:proofErr w:type="gramEnd"/>
      <w:r w:rsidRPr="00EB6387">
        <w:t xml:space="preserve">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lastRenderedPageBreak/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8" w:name="_Hlk115329733"/>
      <w:bookmarkStart w:id="29" w:name="_Hlk115427294"/>
      <w:r w:rsidRPr="00EB6387">
        <w:t>…“</w:t>
      </w:r>
      <w:bookmarkEnd w:id="28"/>
      <w:r w:rsidRPr="00EB6387">
        <w:t>.</w:t>
      </w:r>
      <w:bookmarkEnd w:id="29"/>
    </w:p>
    <w:p w14:paraId="67B3D152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Čl. 1.8.2 TKP, odst. 7 se </w:t>
      </w:r>
      <w:proofErr w:type="gramStart"/>
      <w:r w:rsidRPr="00F832AA">
        <w:t>ruší</w:t>
      </w:r>
      <w:proofErr w:type="gramEnd"/>
      <w:r w:rsidRPr="00F832AA">
        <w:t>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</w:t>
      </w:r>
      <w:proofErr w:type="gramStart"/>
      <w:r w:rsidRPr="00F832AA">
        <w:t>ruší</w:t>
      </w:r>
      <w:proofErr w:type="gramEnd"/>
      <w:r w:rsidRPr="00F832AA">
        <w:t xml:space="preserve"> text </w:t>
      </w:r>
      <w:bookmarkStart w:id="30" w:name="_Hlk115877962"/>
      <w:r w:rsidRPr="00F832AA">
        <w:t>„…</w:t>
      </w:r>
      <w:bookmarkEnd w:id="30"/>
      <w:r w:rsidRPr="00F832AA">
        <w:t xml:space="preserve"> tj. zpravidla Stavební správa SŽ</w:t>
      </w:r>
      <w:bookmarkStart w:id="31" w:name="_Hlk115334079"/>
      <w:r w:rsidRPr="00F832AA">
        <w:t>…“.</w:t>
      </w:r>
      <w:bookmarkEnd w:id="31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 čl. 1.9.2 TKP, odst. 4 v odrážce „body ŽBP“ se </w:t>
      </w:r>
      <w:proofErr w:type="gramStart"/>
      <w:r w:rsidRPr="00F832AA">
        <w:t>ruší</w:t>
      </w:r>
      <w:proofErr w:type="gramEnd"/>
      <w:r w:rsidRPr="00F832AA">
        <w:t xml:space="preserve">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7345FE">
      <w:pPr>
        <w:pStyle w:val="Text2-2"/>
        <w:ind w:left="1701" w:hanging="992"/>
      </w:pPr>
      <w:r w:rsidRPr="001A001A">
        <w:t xml:space="preserve">Čl. 1.9.2 TKP, odst. 7 se </w:t>
      </w:r>
      <w:proofErr w:type="gramStart"/>
      <w:r w:rsidRPr="001A001A">
        <w:t>ruší</w:t>
      </w:r>
      <w:proofErr w:type="gramEnd"/>
      <w:r w:rsidRPr="001A001A">
        <w:t>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2" w:name="_Hlk115953274"/>
      <w:r w:rsidRPr="002E5B84">
        <w:t xml:space="preserve">1.9.5.1 TKP, odst. 1, </w:t>
      </w:r>
      <w:bookmarkEnd w:id="32"/>
      <w:r w:rsidRPr="002E5B84">
        <w:t>písm. e) se mění lhůta z 21 dnů na 7 dnů.</w:t>
      </w:r>
    </w:p>
    <w:p w14:paraId="56F76875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Čl. 1.9.5.1 TKP, odst. 3 se </w:t>
      </w:r>
      <w:proofErr w:type="gramStart"/>
      <w:r w:rsidRPr="002E5B84">
        <w:t>ruší</w:t>
      </w:r>
      <w:proofErr w:type="gramEnd"/>
      <w:r w:rsidRPr="002E5B84">
        <w:t>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 čl. 1.10.5.2 TKP, odst. 3 se </w:t>
      </w:r>
      <w:proofErr w:type="gramStart"/>
      <w:r w:rsidRPr="002E5B84">
        <w:t>ruší</w:t>
      </w:r>
      <w:proofErr w:type="gramEnd"/>
      <w:r w:rsidRPr="002E5B84">
        <w:t xml:space="preserve">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7345FE">
      <w:pPr>
        <w:pStyle w:val="Text2-2"/>
        <w:ind w:left="1701" w:hanging="992"/>
      </w:pPr>
      <w:r w:rsidRPr="00DF7856">
        <w:t xml:space="preserve">Čl. 1.10.9.3 TKP, odst. 7 se </w:t>
      </w:r>
      <w:proofErr w:type="gramStart"/>
      <w:r w:rsidRPr="00DF7856">
        <w:t>ruší</w:t>
      </w:r>
      <w:proofErr w:type="gramEnd"/>
      <w:r w:rsidRPr="00DF7856">
        <w:t>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3" w:name="_Hlk115869021"/>
      <w:r w:rsidRPr="00C2573F">
        <w:t>„…</w:t>
      </w:r>
      <w:bookmarkEnd w:id="33"/>
      <w:r w:rsidRPr="00C2573F">
        <w:t>a v podrobnostech směrnice SŽ SM011“</w:t>
      </w:r>
    </w:p>
    <w:p w14:paraId="5ABBE8F9" w14:textId="77777777" w:rsidR="00DF7856" w:rsidRPr="005D336A" w:rsidRDefault="00DF7856" w:rsidP="007345FE">
      <w:pPr>
        <w:pStyle w:val="Text2-2"/>
        <w:ind w:left="1701" w:hanging="992"/>
      </w:pPr>
      <w:r w:rsidRPr="005D336A">
        <w:t>Čl. 1.11.5.1 TKP, odst. 3 se mění takto:</w:t>
      </w:r>
    </w:p>
    <w:p w14:paraId="75E57AD6" w14:textId="7C84362D" w:rsidR="00DF7856" w:rsidRPr="008C4EA5" w:rsidRDefault="00DF7856" w:rsidP="007345FE">
      <w:pPr>
        <w:pStyle w:val="Text2-2"/>
        <w:numPr>
          <w:ilvl w:val="0"/>
          <w:numId w:val="0"/>
        </w:numPr>
        <w:ind w:left="1701"/>
      </w:pPr>
      <w:r w:rsidRPr="005D336A">
        <w:t xml:space="preserve">Předání Dokumentace skutečného provedení stavby týkající se díla Zhotovitelem Objednateli proběhne </w:t>
      </w:r>
      <w:r w:rsidRPr="005D336A">
        <w:rPr>
          <w:b/>
        </w:rPr>
        <w:t>v listinné podobě ve třech vyhotoveních</w:t>
      </w:r>
      <w:r w:rsidRPr="005D336A">
        <w:t xml:space="preserve"> pro technickou část, pro souborné zpracování geodetické části a kompletní </w:t>
      </w:r>
      <w:r w:rsidRPr="005D336A">
        <w:rPr>
          <w:b/>
        </w:rPr>
        <w:t>dokumentace v elektronické podobě v rozsahu dle čl. 4.1.</w:t>
      </w:r>
      <w:r w:rsidR="001456A2" w:rsidRPr="005D336A">
        <w:rPr>
          <w:b/>
        </w:rPr>
        <w:t>2.</w:t>
      </w:r>
      <w:r w:rsidRPr="005D336A">
        <w:rPr>
          <w:b/>
        </w:rPr>
        <w:t>30</w:t>
      </w:r>
      <w:r w:rsidR="00C4162B" w:rsidRPr="005D336A">
        <w:rPr>
          <w:b/>
        </w:rPr>
        <w:t xml:space="preserve"> </w:t>
      </w:r>
      <w:r w:rsidRPr="005D336A">
        <w:rPr>
          <w:b/>
        </w:rPr>
        <w:t>těchto ZTP</w:t>
      </w:r>
      <w:r w:rsidRPr="005D336A">
        <w:t xml:space="preserve">, </w:t>
      </w:r>
      <w:r w:rsidR="005D336A" w:rsidRPr="005D336A">
        <w:t>a to nejpozději ke dni dokončení Díla (viz bod 5.1.1 ZTP)</w:t>
      </w:r>
      <w:r w:rsidRPr="005D336A">
        <w:t>.</w:t>
      </w:r>
    </w:p>
    <w:p w14:paraId="2A6C8E15" w14:textId="77777777" w:rsidR="004C1240" w:rsidRPr="004C1240" w:rsidRDefault="004C1240" w:rsidP="007345FE">
      <w:pPr>
        <w:pStyle w:val="Text2-2"/>
        <w:ind w:left="1701" w:hanging="992"/>
      </w:pPr>
      <w:r>
        <w:lastRenderedPageBreak/>
        <w:t xml:space="preserve">Čl. 1.11.5.1 TKP, odst. 4 se </w:t>
      </w:r>
      <w:proofErr w:type="gramStart"/>
      <w:r>
        <w:t>ruší</w:t>
      </w:r>
      <w:proofErr w:type="gramEnd"/>
      <w:r>
        <w:t>.</w:t>
      </w:r>
    </w:p>
    <w:p w14:paraId="21938E47" w14:textId="77777777" w:rsidR="004C1240" w:rsidRPr="004C1240" w:rsidRDefault="004C1240" w:rsidP="007345FE">
      <w:pPr>
        <w:pStyle w:val="Text2-2"/>
        <w:ind w:left="1701" w:hanging="992"/>
      </w:pPr>
      <w:r w:rsidRPr="004C1240">
        <w:t xml:space="preserve">Čl. 1.11.5.1 TKP, odst. 5 se </w:t>
      </w:r>
      <w:proofErr w:type="gramStart"/>
      <w:r w:rsidRPr="004C1240">
        <w:t>ruší</w:t>
      </w:r>
      <w:proofErr w:type="gramEnd"/>
      <w:r w:rsidRPr="004C1240">
        <w:t>.</w:t>
      </w:r>
    </w:p>
    <w:p w14:paraId="34C5FAAF" w14:textId="77777777" w:rsidR="004C1240" w:rsidRPr="0089491C" w:rsidRDefault="004C1240" w:rsidP="007345FE">
      <w:pPr>
        <w:pStyle w:val="Text2-2"/>
        <w:ind w:left="1701" w:hanging="992"/>
      </w:pPr>
      <w:r w:rsidRPr="0089491C">
        <w:t>ČL 1.11.5.1 TKP, odst. 6 se mění takto:</w:t>
      </w:r>
    </w:p>
    <w:p w14:paraId="2A2ECA97" w14:textId="77777777" w:rsidR="004C1240" w:rsidRPr="0089491C" w:rsidRDefault="004C1240" w:rsidP="00DE3429">
      <w:pPr>
        <w:pStyle w:val="Text2-2"/>
        <w:numPr>
          <w:ilvl w:val="0"/>
          <w:numId w:val="0"/>
        </w:numPr>
        <w:ind w:left="1701"/>
      </w:pPr>
      <w:r w:rsidRPr="0089491C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89491C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89491C">
        <w:t>kompletní dokumentace stavby v otevřené formě</w:t>
      </w:r>
    </w:p>
    <w:p w14:paraId="19A3DA3F" w14:textId="7E66C78D" w:rsidR="004C1240" w:rsidRPr="0089491C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89491C">
        <w:t>kompletní dokumentace stavby v uzavřené formě</w:t>
      </w: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 xml:space="preserve">V čl. 1.11.5.1 TKP, odst. 7 se </w:t>
      </w:r>
      <w:proofErr w:type="gramStart"/>
      <w:r w:rsidRPr="00E05363">
        <w:t>ruší</w:t>
      </w:r>
      <w:proofErr w:type="gramEnd"/>
      <w:r w:rsidRPr="00E05363">
        <w:t xml:space="preserve"> text: „…*.XML (datový předpis XDC)“.</w:t>
      </w:r>
    </w:p>
    <w:p w14:paraId="6DDAD84D" w14:textId="77777777" w:rsidR="00735BE7" w:rsidRPr="00735F5B" w:rsidRDefault="00735BE7" w:rsidP="007345FE">
      <w:pPr>
        <w:pStyle w:val="Text2-1"/>
        <w:ind w:left="1701" w:hanging="992"/>
        <w:rPr>
          <w:b/>
        </w:rPr>
      </w:pPr>
      <w:r w:rsidRPr="00735BE7">
        <w:t xml:space="preserve">Pokud obsahují TKP odvolání na ustanovení VTP, tyto se </w:t>
      </w:r>
      <w:proofErr w:type="gramStart"/>
      <w:r w:rsidRPr="00735BE7">
        <w:t>ruší</w:t>
      </w:r>
      <w:proofErr w:type="gramEnd"/>
      <w:r w:rsidRPr="00735BE7">
        <w:t xml:space="preserve"> a </w:t>
      </w:r>
      <w:r w:rsidRPr="00735F5B">
        <w:rPr>
          <w:b/>
        </w:rPr>
        <w:t>platí TKP, nebo doplňující ustanovení jsou-li v ZTP uvedena.</w:t>
      </w:r>
    </w:p>
    <w:p w14:paraId="7FA8E2B4" w14:textId="4730C3DF" w:rsidR="00735F5B" w:rsidRPr="008D1303" w:rsidRDefault="00735F5B" w:rsidP="007345FE">
      <w:pPr>
        <w:pStyle w:val="Text2-2"/>
        <w:ind w:left="1701" w:hanging="992"/>
      </w:pPr>
      <w:r>
        <w:t>Objednatel se zavazuje zajistit Zhotoviteli právo užívání Staveništ</w:t>
      </w:r>
      <w:r w:rsidRPr="00B5597F">
        <w:t>ě,</w:t>
      </w:r>
      <w:r>
        <w:t xml:space="preserve"> v době, kdy je toho třeba, aby mohl Zhotovitel Dílo dokončit řádně a včas za podmínek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 xml:space="preserve">a to v souladu s bodem 5.1.1 </w:t>
      </w:r>
      <w:r w:rsidR="00BE06E2" w:rsidRPr="005D336A">
        <w:t xml:space="preserve">těchto </w:t>
      </w:r>
      <w:r w:rsidR="008A19E2" w:rsidRPr="005D336A">
        <w:t>ZTP.</w:t>
      </w:r>
    </w:p>
    <w:p w14:paraId="4A5A2314" w14:textId="77777777" w:rsidR="00735F5B" w:rsidRDefault="00735F5B" w:rsidP="007345FE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7345FE">
      <w:pPr>
        <w:pStyle w:val="Text2-2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7345FE">
      <w:pPr>
        <w:pStyle w:val="Text2-2"/>
        <w:ind w:left="1701" w:hanging="99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7345FE">
      <w:pPr>
        <w:pStyle w:val="Text2-2"/>
        <w:ind w:left="1701" w:hanging="992"/>
      </w:pPr>
      <w:r w:rsidRPr="00F72FDF">
        <w:rPr>
          <w:b/>
        </w:rPr>
        <w:lastRenderedPageBreak/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C4EA5">
        <w:t>elektrotavné</w:t>
      </w:r>
      <w:proofErr w:type="spellEnd"/>
      <w:r w:rsidRPr="008C4EA5">
        <w:t xml:space="preserve">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8C4EA5" w:rsidRDefault="00FD0503" w:rsidP="007345FE">
      <w:pPr>
        <w:pStyle w:val="Text2-2"/>
        <w:ind w:left="1701" w:hanging="992"/>
      </w:pPr>
      <w:r w:rsidRPr="008C4EA5">
        <w:rPr>
          <w:b/>
        </w:rPr>
        <w:lastRenderedPageBreak/>
        <w:t xml:space="preserve">V </w:t>
      </w:r>
      <w:r w:rsidR="000C3375" w:rsidRPr="008C4EA5">
        <w:rPr>
          <w:b/>
        </w:rPr>
        <w:t>dokumentaci skutečného provedení stavby (</w:t>
      </w:r>
      <w:r w:rsidRPr="008C4EA5">
        <w:rPr>
          <w:b/>
        </w:rPr>
        <w:t>DSPS</w:t>
      </w:r>
      <w:r w:rsidR="000C3375" w:rsidRPr="008C4EA5">
        <w:rPr>
          <w:b/>
        </w:rPr>
        <w:t>)</w:t>
      </w:r>
      <w:r w:rsidRPr="008C4EA5">
        <w:rPr>
          <w:b/>
        </w:rPr>
        <w:t xml:space="preserve"> </w:t>
      </w:r>
      <w:r w:rsidRPr="008C4EA5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89491C" w:rsidRDefault="000C3375" w:rsidP="007345FE">
      <w:pPr>
        <w:pStyle w:val="Text2-2"/>
        <w:ind w:left="1701" w:hanging="992"/>
      </w:pPr>
      <w:r w:rsidRPr="008C4EA5">
        <w:t xml:space="preserve"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</w:t>
      </w:r>
      <w:r w:rsidRPr="0089491C">
        <w:t>mostních objektů.</w:t>
      </w:r>
    </w:p>
    <w:p w14:paraId="7F724E90" w14:textId="1BE042EA" w:rsidR="009F244D" w:rsidRPr="0089491C" w:rsidRDefault="009F244D" w:rsidP="007345FE">
      <w:pPr>
        <w:pStyle w:val="Text2-2"/>
        <w:ind w:left="1701" w:hanging="992"/>
      </w:pPr>
      <w:r w:rsidRPr="0089491C">
        <w:t>V listinné podobě bude DSPS předána v rozsahu čl. 4.1.</w:t>
      </w:r>
      <w:r w:rsidR="00FD5F18" w:rsidRPr="0089491C">
        <w:t>3.</w:t>
      </w:r>
      <w:r w:rsidR="0089491C" w:rsidRPr="0089491C">
        <w:t>2</w:t>
      </w:r>
      <w:r w:rsidR="0089491C">
        <w:t>2</w:t>
      </w:r>
      <w:r w:rsidRPr="0089491C">
        <w:t xml:space="preserve"> těchto ZTP dle části a), e), </w:t>
      </w:r>
      <w:proofErr w:type="gramStart"/>
      <w:r w:rsidRPr="0089491C">
        <w:t>f)(</w:t>
      </w:r>
      <w:proofErr w:type="gramEnd"/>
      <w:r w:rsidRPr="0089491C">
        <w:t>v) a f)(</w:t>
      </w:r>
      <w:proofErr w:type="spellStart"/>
      <w:r w:rsidRPr="0089491C">
        <w:t>vi</w:t>
      </w:r>
      <w:proofErr w:type="spellEnd"/>
      <w:r w:rsidRPr="0089491C">
        <w:t>).</w:t>
      </w:r>
    </w:p>
    <w:p w14:paraId="5F3CF275" w14:textId="197D4E6E" w:rsidR="009F244D" w:rsidRDefault="009F244D" w:rsidP="007345FE">
      <w:pPr>
        <w:pStyle w:val="Text2-2"/>
        <w:ind w:left="1701" w:hanging="99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52F4128E" w14:textId="77777777" w:rsidR="0089491C" w:rsidRPr="0089491C" w:rsidRDefault="0089491C" w:rsidP="0089491C">
      <w:pPr>
        <w:pStyle w:val="Text2-2"/>
        <w:ind w:left="1701" w:hanging="992"/>
      </w:pPr>
      <w:r w:rsidRPr="0089491C">
        <w:rPr>
          <w:b/>
        </w:rPr>
        <w:t>Součástí dokumentů skutečného provedení stavby</w:t>
      </w:r>
      <w:r w:rsidRPr="0089491C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7878BAEF" w14:textId="77777777" w:rsidR="0089491C" w:rsidRPr="0089491C" w:rsidRDefault="0089491C" w:rsidP="0089491C">
      <w:pPr>
        <w:pStyle w:val="Odstavecseseznamem"/>
        <w:numPr>
          <w:ilvl w:val="4"/>
          <w:numId w:val="6"/>
        </w:numPr>
        <w:spacing w:after="120"/>
        <w:ind w:left="1701" w:hanging="992"/>
        <w:jc w:val="both"/>
        <w:rPr>
          <w:sz w:val="18"/>
          <w:szCs w:val="18"/>
        </w:rPr>
      </w:pPr>
      <w:r w:rsidRPr="0089491C">
        <w:rPr>
          <w:sz w:val="18"/>
          <w:szCs w:val="18"/>
        </w:rPr>
        <w:t>doklady o udělených výjimkách z platných předpisů a norem, případně souhlas Drážního úřadu,</w:t>
      </w:r>
    </w:p>
    <w:p w14:paraId="4AA84B80" w14:textId="77777777" w:rsidR="0089491C" w:rsidRPr="0089491C" w:rsidRDefault="0089491C" w:rsidP="0089491C">
      <w:pPr>
        <w:pStyle w:val="Text2-2"/>
        <w:numPr>
          <w:ilvl w:val="4"/>
          <w:numId w:val="6"/>
        </w:numPr>
        <w:ind w:left="1701" w:hanging="992"/>
      </w:pPr>
      <w:r w:rsidRPr="0089491C">
        <w:t>doklady o projednání PDPS,</w:t>
      </w:r>
    </w:p>
    <w:p w14:paraId="35653DE6" w14:textId="77777777" w:rsidR="0089491C" w:rsidRPr="0089491C" w:rsidRDefault="0089491C" w:rsidP="0089491C">
      <w:pPr>
        <w:pStyle w:val="Text2-2"/>
        <w:numPr>
          <w:ilvl w:val="4"/>
          <w:numId w:val="6"/>
        </w:numPr>
        <w:ind w:left="1701" w:hanging="992"/>
      </w:pPr>
      <w:r w:rsidRPr="0089491C">
        <w:t>závazná stanoviska dotčených orgánů a další doklady o jednání s dotčenými orgány a účastníky stavebního řízení,</w:t>
      </w:r>
    </w:p>
    <w:p w14:paraId="08047693" w14:textId="77777777" w:rsidR="0089491C" w:rsidRPr="0089491C" w:rsidRDefault="0089491C" w:rsidP="0089491C">
      <w:pPr>
        <w:pStyle w:val="Text2-2"/>
        <w:numPr>
          <w:ilvl w:val="4"/>
          <w:numId w:val="6"/>
        </w:numPr>
        <w:ind w:left="1701" w:hanging="992"/>
      </w:pPr>
      <w:r w:rsidRPr="0089491C">
        <w:t>vyjádření vlastníků a správců dotčených inženýrských sítí,</w:t>
      </w:r>
    </w:p>
    <w:p w14:paraId="773694F2" w14:textId="2A443B8F" w:rsidR="0089491C" w:rsidRPr="0089491C" w:rsidRDefault="0089491C" w:rsidP="0089491C">
      <w:pPr>
        <w:pStyle w:val="Text2-2"/>
        <w:numPr>
          <w:ilvl w:val="4"/>
          <w:numId w:val="6"/>
        </w:numPr>
        <w:ind w:left="1701" w:hanging="992"/>
      </w:pPr>
      <w:r w:rsidRPr="0089491C">
        <w:t>doklady o projednání s vlastníky pozemků a staveb nebo bytů a nebytových prostor dotčených stavbou, popř. s jinými oprávněnými subjekty.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 xml:space="preserve">Zhotovitel vždy </w:t>
      </w:r>
      <w:proofErr w:type="gramStart"/>
      <w:r w:rsidRPr="00722BEB">
        <w:t>předloží</w:t>
      </w:r>
      <w:proofErr w:type="gramEnd"/>
      <w:r w:rsidRPr="00722BEB">
        <w:t xml:space="preserve">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6F687F" w:rsidRDefault="006C44FD" w:rsidP="007345FE">
      <w:pPr>
        <w:pStyle w:val="Text2-2"/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89491C" w:rsidRDefault="006F687F" w:rsidP="007345FE">
      <w:pPr>
        <w:pStyle w:val="Text2-2"/>
        <w:ind w:left="1701" w:hanging="992"/>
      </w:pPr>
      <w:r w:rsidRPr="0089491C">
        <w:lastRenderedPageBreak/>
        <w:t xml:space="preserve">Zhotovitel se zavazuje zajistit u svých zaměstnanců a zaměstnanců poddodavatelů prokazatelné seznámení s </w:t>
      </w:r>
      <w:r w:rsidRPr="0089491C">
        <w:rPr>
          <w:b/>
        </w:rPr>
        <w:t xml:space="preserve">plánem BOZP </w:t>
      </w:r>
      <w:r w:rsidRPr="0089491C">
        <w:t>Díla (dle zákona č. 309/2006 Sb.</w:t>
      </w:r>
      <w:r w:rsidR="006C44FD" w:rsidRPr="0089491C">
        <w:t xml:space="preserve"> (zákon o zajištění dalších podmínek bezpečnosti a ochrany zdraví při práci))</w:t>
      </w:r>
      <w:r w:rsidRPr="0089491C">
        <w:t xml:space="preserve"> a doložit splnění této povinnosti písemně před předáním Staveniště Zhotoviteli. 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2A410972" w14:textId="42A4BECC" w:rsidR="00161BD6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4" w:name="_Toc126758537"/>
      <w:r>
        <w:t xml:space="preserve">Zeměměřická </w:t>
      </w:r>
      <w:r w:rsidRPr="0080577B">
        <w:t>činnost</w:t>
      </w:r>
      <w:r>
        <w:t xml:space="preserve"> zhotovitele</w:t>
      </w:r>
      <w:bookmarkEnd w:id="34"/>
    </w:p>
    <w:p w14:paraId="0D0C0FDD" w14:textId="58FED3D4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</w:t>
      </w:r>
      <w:r w:rsidRPr="006A47FC">
        <w:t xml:space="preserve">Objednatele bude uveden kontakt na místně příslušného pracovníka </w:t>
      </w:r>
      <w:proofErr w:type="gramStart"/>
      <w:r w:rsidRPr="006A47FC">
        <w:t>SŽG  dle</w:t>
      </w:r>
      <w:proofErr w:type="gramEnd"/>
      <w:r w:rsidRPr="006A47FC">
        <w:t xml:space="preserve"> konkrétního OŘ (</w:t>
      </w:r>
      <w:r w:rsidR="006A47FC" w:rsidRPr="006A47FC">
        <w:t>Ing</w:t>
      </w:r>
      <w:r w:rsidR="006A47FC" w:rsidRPr="002236FA">
        <w:t xml:space="preserve">. Martin </w:t>
      </w:r>
      <w:proofErr w:type="spellStart"/>
      <w:r w:rsidR="006A47FC" w:rsidRPr="002236FA">
        <w:t>Votoupal</w:t>
      </w:r>
      <w:proofErr w:type="spellEnd"/>
      <w:r w:rsidR="006A47FC" w:rsidRPr="002236FA">
        <w:t>, 972 762 033, 727 877 362, votoupal@spravazeleznic</w:t>
      </w:r>
      <w:r w:rsidR="006A47FC" w:rsidRPr="006A47FC">
        <w:t>.cz</w:t>
      </w:r>
      <w:r w:rsidRPr="006A47FC">
        <w:t>)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5" w:name="_Hlk113520772"/>
      <w:bookmarkStart w:id="36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5"/>
      <w:bookmarkEnd w:id="36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6A47FC" w:rsidRDefault="00DC55C8" w:rsidP="00DC55C8">
      <w:pPr>
        <w:pStyle w:val="Text2-1"/>
      </w:pPr>
      <w:r w:rsidRPr="006A47FC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6A47FC" w:rsidRDefault="00DC55C8" w:rsidP="00DC55C8">
      <w:pPr>
        <w:pStyle w:val="Text2-1"/>
      </w:pPr>
      <w:r w:rsidRPr="006A47FC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</w:t>
      </w:r>
      <w:proofErr w:type="gramStart"/>
      <w:r w:rsidRPr="006A47FC">
        <w:t>SŽG - ŽBP</w:t>
      </w:r>
      <w:proofErr w:type="gramEnd"/>
      <w:r w:rsidRPr="006A47FC">
        <w:t xml:space="preserve">, ŽMP, PPK, popř. se správcem železničního katastru nemovitostí (dále jen „ŽKN“). </w:t>
      </w:r>
    </w:p>
    <w:p w14:paraId="2E8FBF02" w14:textId="59565232" w:rsidR="00DC55C8" w:rsidRPr="006A47FC" w:rsidRDefault="00DC55C8" w:rsidP="00DC55C8">
      <w:pPr>
        <w:pStyle w:val="Text2-1"/>
      </w:pPr>
      <w:r w:rsidRPr="006A47FC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7" w:name="_Hlk113458748"/>
      <w:r>
        <w:t> čl. 1.7.3 TKP ZEMĚMĚŘICKÁ ČINNOST ZAJIŠŤOVANÁ ZHOTOVITELEM</w:t>
      </w:r>
      <w:bookmarkEnd w:id="37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>
        <w:t>ŽBP</w:t>
      </w:r>
      <w:proofErr w:type="gramEnd"/>
      <w:r>
        <w:t xml:space="preserve"> a to na</w:t>
      </w:r>
      <w:r w:rsidRPr="00DC55C8">
        <w:rPr>
          <w:sz w:val="20"/>
          <w:szCs w:val="20"/>
        </w:rPr>
        <w:t xml:space="preserve"> </w:t>
      </w:r>
      <w:r w:rsidRPr="00DC55C8">
        <w:t xml:space="preserve">náklady zhotovitele. Dokumentaci nového ŽBP předá </w:t>
      </w:r>
      <w:r w:rsidRPr="00DC55C8">
        <w:lastRenderedPageBreak/>
        <w:t>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7E59A6FB" w14:textId="77777777" w:rsidR="00DC55C8" w:rsidRPr="006A47FC" w:rsidRDefault="00DC55C8" w:rsidP="00DC55C8">
      <w:pPr>
        <w:pStyle w:val="Text2-1"/>
      </w:pPr>
      <w:r w:rsidRPr="006A47FC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6A47FC" w:rsidRDefault="00DC55C8" w:rsidP="00DC55C8">
      <w:pPr>
        <w:pStyle w:val="Text2-1"/>
      </w:pPr>
      <w:r w:rsidRPr="006A47FC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4F09C53C" w14:textId="2D9E2319" w:rsidR="00DF7BAA" w:rsidRPr="00DB1800" w:rsidRDefault="00DF7BAA" w:rsidP="00DF7BAA">
      <w:pPr>
        <w:pStyle w:val="Nadpis2-2"/>
      </w:pPr>
      <w:bookmarkStart w:id="38" w:name="_Toc6410438"/>
      <w:bookmarkStart w:id="39" w:name="_Toc126758538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38"/>
      <w:bookmarkEnd w:id="39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40" w:name="_Toc6410439"/>
      <w:bookmarkStart w:id="41" w:name="_Toc126758539"/>
      <w:r w:rsidRPr="00953A4A">
        <w:lastRenderedPageBreak/>
        <w:t>Dokumentace zhotovitele pro stavbu</w:t>
      </w:r>
      <w:bookmarkEnd w:id="40"/>
      <w:bookmarkEnd w:id="41"/>
    </w:p>
    <w:p w14:paraId="68B2109F" w14:textId="5BF73C6B" w:rsidR="00953A4A" w:rsidRPr="00953A4A" w:rsidRDefault="00953A4A" w:rsidP="00F21EDB">
      <w:pPr>
        <w:pStyle w:val="Text2-1"/>
      </w:pPr>
      <w:r w:rsidRPr="00953A4A">
        <w:t>Součástí předmětu díla není vyhotovení Realizační dokumentace stavby.</w:t>
      </w:r>
    </w:p>
    <w:p w14:paraId="109FD0B0" w14:textId="77777777" w:rsidR="00EE6FF4" w:rsidRPr="00953A4A" w:rsidRDefault="00740821" w:rsidP="00F21EDB">
      <w:pPr>
        <w:pStyle w:val="Text2-1"/>
      </w:pPr>
      <w:r w:rsidRPr="00953A4A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6067FE9E" w:rsidR="00740821" w:rsidRPr="00953A4A" w:rsidRDefault="00740821" w:rsidP="00F21EDB">
      <w:pPr>
        <w:pStyle w:val="Text2-1"/>
      </w:pPr>
      <w:r w:rsidRPr="00953A4A">
        <w:t>Zhotovitel zpracuje technologické předpisy (</w:t>
      </w:r>
      <w:proofErr w:type="spellStart"/>
      <w:r w:rsidRPr="00953A4A">
        <w:t>TePř</w:t>
      </w:r>
      <w:proofErr w:type="spellEnd"/>
      <w:r w:rsidRPr="00953A4A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953A4A">
        <w:t>.</w:t>
      </w:r>
    </w:p>
    <w:p w14:paraId="19F38ADB" w14:textId="77777777" w:rsidR="00B53E41" w:rsidRPr="006411F1" w:rsidRDefault="00DF7BAA" w:rsidP="0060019A">
      <w:pPr>
        <w:pStyle w:val="Nadpis2-2"/>
      </w:pPr>
      <w:bookmarkStart w:id="42" w:name="_Toc6410440"/>
      <w:bookmarkStart w:id="43" w:name="_Toc126758540"/>
      <w:r w:rsidRPr="006411F1">
        <w:t>Dokumentace skutečného provedení stavby</w:t>
      </w:r>
      <w:bookmarkEnd w:id="42"/>
      <w:bookmarkEnd w:id="43"/>
    </w:p>
    <w:p w14:paraId="63B3DF2E" w14:textId="2F55D898" w:rsidR="00F310FA" w:rsidRPr="00357326" w:rsidRDefault="006411F1" w:rsidP="00357326">
      <w:pPr>
        <w:pStyle w:val="Text2-1"/>
        <w:tabs>
          <w:tab w:val="num" w:pos="5076"/>
        </w:tabs>
        <w:rPr>
          <w:color w:val="00A1E0"/>
        </w:rPr>
      </w:pPr>
      <w:r>
        <w:t xml:space="preserve">Objednatel požaduje standardní vyhotovení </w:t>
      </w:r>
      <w:r w:rsidR="000E11D6">
        <w:t>DSPS</w:t>
      </w:r>
      <w:r w:rsidRPr="006411F1">
        <w:t xml:space="preserve"> </w:t>
      </w:r>
      <w:r>
        <w:t>dle TKP.</w:t>
      </w:r>
    </w:p>
    <w:p w14:paraId="00B8E2C3" w14:textId="511D8CF6" w:rsidR="00470F14" w:rsidRPr="006A47FC" w:rsidRDefault="00606137" w:rsidP="000E11D6">
      <w:pPr>
        <w:pStyle w:val="Text2-1"/>
        <w:rPr>
          <w:rFonts w:eastAsia="Verdana" w:cs="Times New Roman"/>
        </w:rPr>
      </w:pPr>
      <w:r w:rsidRPr="006A47FC">
        <w:t xml:space="preserve">Předání DSPS dle oddílu 1.11.5 Kapitoly 1 TKP </w:t>
      </w:r>
      <w:r w:rsidR="00525C0C" w:rsidRPr="006A47FC">
        <w:t>a dle</w:t>
      </w:r>
      <w:r w:rsidRPr="006A47FC">
        <w:t xml:space="preserve"> čl. 4.1.2.</w:t>
      </w:r>
      <w:r w:rsidR="00C72757" w:rsidRPr="006A47FC">
        <w:t>27</w:t>
      </w:r>
      <w:r w:rsidRPr="006A47FC">
        <w:t xml:space="preserve"> </w:t>
      </w:r>
      <w:r w:rsidR="00C72757" w:rsidRPr="006A47FC">
        <w:t>a</w:t>
      </w:r>
      <w:r w:rsidRPr="006A47FC">
        <w:t xml:space="preserve"> 4.1.2.</w:t>
      </w:r>
      <w:r w:rsidR="00C72757" w:rsidRPr="006A47FC">
        <w:t>30</w:t>
      </w:r>
      <w:r w:rsidRPr="006A47FC">
        <w:t xml:space="preserve"> těchto ZTP proběhne na médiu: </w:t>
      </w:r>
      <w:r w:rsidR="00C72757" w:rsidRPr="006A47FC">
        <w:rPr>
          <w:b/>
        </w:rPr>
        <w:t>CD</w:t>
      </w:r>
      <w:r w:rsidR="00CD41C0" w:rsidRPr="006A47FC">
        <w:rPr>
          <w:b/>
        </w:rPr>
        <w:t>/DVD</w:t>
      </w:r>
    </w:p>
    <w:p w14:paraId="7CEB78BD" w14:textId="5DC4AF93" w:rsidR="00DF7BAA" w:rsidRDefault="00DF7BAA" w:rsidP="00DF7BAA">
      <w:pPr>
        <w:pStyle w:val="Nadpis2-2"/>
      </w:pPr>
      <w:bookmarkStart w:id="44" w:name="_Toc6410455"/>
      <w:bookmarkStart w:id="45" w:name="_Toc126758555"/>
      <w:r w:rsidRPr="000124A1">
        <w:t>Pozemní stavební objekty</w:t>
      </w:r>
      <w:bookmarkEnd w:id="44"/>
      <w:bookmarkEnd w:id="45"/>
    </w:p>
    <w:p w14:paraId="4B7D4C21" w14:textId="799C75E4" w:rsidR="00C72757" w:rsidRPr="00C72757" w:rsidRDefault="001A178E" w:rsidP="00C72757">
      <w:pPr>
        <w:pStyle w:val="Text2-1"/>
        <w:tabs>
          <w:tab w:val="clear" w:pos="737"/>
          <w:tab w:val="num" w:pos="709"/>
        </w:tabs>
        <w:spacing w:after="0"/>
      </w:pPr>
      <w:r>
        <w:t>B</w:t>
      </w:r>
      <w:r w:rsidR="00C72757" w:rsidRPr="00C72757">
        <w:t>udova je situována v lokalitě železniční stanice Ostrava hl.</w:t>
      </w:r>
      <w:r w:rsidR="007A3304">
        <w:t xml:space="preserve"> </w:t>
      </w:r>
      <w:r w:rsidR="00C72757" w:rsidRPr="00C72757">
        <w:t>n. v </w:t>
      </w:r>
      <w:proofErr w:type="gramStart"/>
      <w:r w:rsidR="00C72757" w:rsidRPr="00C72757">
        <w:t>Ostravě - Přívoze</w:t>
      </w:r>
      <w:proofErr w:type="gramEnd"/>
      <w:r w:rsidR="00C72757" w:rsidRPr="00C72757">
        <w:t xml:space="preserve"> a ukončuje jeho pravé křídlo, které zahrnuje administrativní budovu, objekt České pošty a hospodářskou budovu Správy železnic, s.</w:t>
      </w:r>
      <w:r w:rsidR="007A3304">
        <w:t xml:space="preserve"> </w:t>
      </w:r>
      <w:r w:rsidR="00C72757" w:rsidRPr="00C72757">
        <w:t xml:space="preserve">o. se kterou sousedí. </w:t>
      </w:r>
    </w:p>
    <w:p w14:paraId="437751C1" w14:textId="6DA72479" w:rsidR="00C72757" w:rsidRDefault="00C72757" w:rsidP="001A178E">
      <w:pPr>
        <w:tabs>
          <w:tab w:val="num" w:pos="709"/>
        </w:tabs>
        <w:spacing w:after="0"/>
        <w:ind w:left="709" w:hanging="737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Pr="00C72757">
        <w:rPr>
          <w:sz w:val="18"/>
          <w:szCs w:val="18"/>
        </w:rPr>
        <w:t>Objekt administrativní budovy je součástí uzavřeného oploceného areálu Správy železnic, ve kterém se dále nachází objekty HZS Správy železnic, s.</w:t>
      </w:r>
      <w:r w:rsidR="007A3304">
        <w:rPr>
          <w:sz w:val="18"/>
          <w:szCs w:val="18"/>
        </w:rPr>
        <w:t xml:space="preserve"> </w:t>
      </w:r>
      <w:r w:rsidRPr="00C72757">
        <w:rPr>
          <w:sz w:val="18"/>
          <w:szCs w:val="18"/>
        </w:rPr>
        <w:t>o. a další menší stavby garáží provozních vozidel či provozních skladů.</w:t>
      </w:r>
      <w:r>
        <w:rPr>
          <w:sz w:val="18"/>
          <w:szCs w:val="18"/>
        </w:rPr>
        <w:t xml:space="preserve"> </w:t>
      </w:r>
      <w:r w:rsidRPr="00C72757">
        <w:rPr>
          <w:sz w:val="18"/>
          <w:szCs w:val="18"/>
        </w:rPr>
        <w:t>Budova je z jedné strany přivrácena ke kolejišti a z druhé strany je umístěn chodník a areálová komunikace s parkovištěm. Na objekt přímo navazuje nákladová rampa, která objekt lemuje ze všech tří volných stran.</w:t>
      </w:r>
      <w:r>
        <w:rPr>
          <w:sz w:val="18"/>
          <w:szCs w:val="18"/>
        </w:rPr>
        <w:t xml:space="preserve"> </w:t>
      </w:r>
      <w:r w:rsidRPr="00C72757">
        <w:rPr>
          <w:sz w:val="18"/>
          <w:szCs w:val="18"/>
        </w:rPr>
        <w:t>Areál místa stavby není přístupný veřejnosti, proto se zde neuplatňují požadavky na zajištění opatření pro bezpečný pohyb osob s mezenou schopností pohybu a orientace. V tomto ohledu budou po dobu realizace zajištěny standardní opatření pro zajištění ochrany zdraví a bezpečnost osob pohybujících se v</w:t>
      </w:r>
      <w:r w:rsidR="007A3304">
        <w:rPr>
          <w:sz w:val="18"/>
          <w:szCs w:val="18"/>
        </w:rPr>
        <w:t> </w:t>
      </w:r>
      <w:r w:rsidRPr="00C72757">
        <w:rPr>
          <w:sz w:val="18"/>
          <w:szCs w:val="18"/>
        </w:rPr>
        <w:t>areálu</w:t>
      </w:r>
      <w:r w:rsidR="007A3304">
        <w:rPr>
          <w:sz w:val="18"/>
          <w:szCs w:val="18"/>
        </w:rPr>
        <w:t>.</w:t>
      </w:r>
    </w:p>
    <w:p w14:paraId="4E87A3CD" w14:textId="1B65FB81" w:rsidR="007A3304" w:rsidRPr="007A3304" w:rsidRDefault="007A3304" w:rsidP="001A178E">
      <w:pPr>
        <w:spacing w:after="0"/>
        <w:ind w:left="709"/>
        <w:jc w:val="both"/>
        <w:rPr>
          <w:sz w:val="18"/>
          <w:szCs w:val="18"/>
        </w:rPr>
      </w:pPr>
      <w:r w:rsidRPr="007A3304">
        <w:rPr>
          <w:sz w:val="18"/>
          <w:szCs w:val="18"/>
        </w:rPr>
        <w:t xml:space="preserve">Stavební úpravy </w:t>
      </w:r>
      <w:r>
        <w:rPr>
          <w:sz w:val="18"/>
          <w:szCs w:val="18"/>
        </w:rPr>
        <w:t xml:space="preserve">budou prováděny </w:t>
      </w:r>
      <w:r w:rsidRPr="007A3304">
        <w:rPr>
          <w:sz w:val="18"/>
          <w:szCs w:val="18"/>
        </w:rPr>
        <w:t xml:space="preserve">na úrovni 1.NP až 3.NP v rozsahu </w:t>
      </w:r>
      <w:r w:rsidR="001A178E">
        <w:rPr>
          <w:sz w:val="18"/>
          <w:szCs w:val="18"/>
        </w:rPr>
        <w:t>stavebních úprav</w:t>
      </w:r>
      <w:r w:rsidRPr="007A3304">
        <w:rPr>
          <w:sz w:val="18"/>
          <w:szCs w:val="18"/>
        </w:rPr>
        <w:t xml:space="preserve"> stávajících sociálních zařízení, včetně zřízení patrových denních místností s kuchyňkami a </w:t>
      </w:r>
      <w:r w:rsidR="001A178E">
        <w:rPr>
          <w:sz w:val="18"/>
          <w:szCs w:val="18"/>
        </w:rPr>
        <w:t>stavebních úprav</w:t>
      </w:r>
      <w:r w:rsidRPr="007A3304">
        <w:rPr>
          <w:sz w:val="18"/>
          <w:szCs w:val="18"/>
        </w:rPr>
        <w:t xml:space="preserve"> úklidové místnosti v 1.NP</w:t>
      </w:r>
      <w:r w:rsidR="001A178E">
        <w:rPr>
          <w:sz w:val="18"/>
          <w:szCs w:val="18"/>
        </w:rPr>
        <w:t xml:space="preserve">, včetně úprav </w:t>
      </w:r>
      <w:r w:rsidRPr="007A3304">
        <w:rPr>
          <w:sz w:val="18"/>
          <w:szCs w:val="18"/>
        </w:rPr>
        <w:t>technických instalací – ZTI, ÚT, VZT, ELE</w:t>
      </w:r>
      <w:r>
        <w:rPr>
          <w:sz w:val="18"/>
          <w:szCs w:val="18"/>
        </w:rPr>
        <w:t>.</w:t>
      </w:r>
    </w:p>
    <w:p w14:paraId="3B67C881" w14:textId="77777777" w:rsidR="00DF7BAA" w:rsidRDefault="00DF7BAA" w:rsidP="00DF7BAA">
      <w:pPr>
        <w:pStyle w:val="Nadpis2-2"/>
      </w:pPr>
      <w:bookmarkStart w:id="46" w:name="_Toc126758557"/>
      <w:bookmarkStart w:id="47" w:name="_Toc6410458"/>
      <w:r>
        <w:t>Životní prostředí</w:t>
      </w:r>
      <w:bookmarkEnd w:id="46"/>
      <w:r>
        <w:t xml:space="preserve"> </w:t>
      </w:r>
      <w:bookmarkEnd w:id="47"/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0FAF39A3" w14:textId="614B295E" w:rsidR="006A47FC" w:rsidRDefault="00E50E94" w:rsidP="006A47FC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Polohy a vzdálenosti skládek, resp. recyklačních míst/center pro likvidaci, resp. recyklaci odpadů uvedené v Projektové dokumentaci nebo jiné části Zadávací dokumentace jsou pouze informativní a </w:t>
      </w:r>
      <w:proofErr w:type="gramStart"/>
      <w:r w:rsidRPr="009667B1">
        <w:rPr>
          <w:rStyle w:val="Tun"/>
        </w:rPr>
        <w:t>slouží</w:t>
      </w:r>
      <w:proofErr w:type="gramEnd"/>
      <w:r w:rsidRPr="009667B1">
        <w:rPr>
          <w:rStyle w:val="Tun"/>
        </w:rPr>
        <w:t xml:space="preserve"> pro interní potřeby Objednatele a stavebního řízení. Umístění skládek, resp. recyklačních míst/center není podkladem pro výběrové řízení na zhotovitele stavby, má tedy pouze informativní charakter.</w:t>
      </w:r>
    </w:p>
    <w:p w14:paraId="4F1E87C3" w14:textId="4F044CE0" w:rsidR="006A47FC" w:rsidRPr="006A47FC" w:rsidRDefault="006A47FC" w:rsidP="006A47FC">
      <w:pPr>
        <w:spacing w:after="240" w:line="264" w:lineRule="auto"/>
        <w:rPr>
          <w:b/>
          <w:sz w:val="18"/>
          <w:szCs w:val="18"/>
        </w:rPr>
      </w:pPr>
      <w:r>
        <w:rPr>
          <w:rStyle w:val="Tun"/>
        </w:rPr>
        <w:br w:type="page"/>
      </w:r>
    </w:p>
    <w:p w14:paraId="188B588A" w14:textId="77F62B59" w:rsidR="00DF7BAA" w:rsidRDefault="00DF7BAA" w:rsidP="00DF7BAA">
      <w:pPr>
        <w:pStyle w:val="Nadpis2-1"/>
      </w:pPr>
      <w:bookmarkStart w:id="48" w:name="_Toc6410460"/>
      <w:bookmarkStart w:id="49" w:name="_Toc126758559"/>
      <w:r w:rsidRPr="00EC2E51">
        <w:lastRenderedPageBreak/>
        <w:t>ORGANIZACE</w:t>
      </w:r>
      <w:r>
        <w:t xml:space="preserve"> VÝSTAVBY, VÝLUKY</w:t>
      </w:r>
      <w:bookmarkEnd w:id="48"/>
      <w:bookmarkEnd w:id="49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1E5CE602" w:rsidR="00BC5413" w:rsidRPr="00EC02A5" w:rsidRDefault="009B0280" w:rsidP="005D2C6C">
      <w:pPr>
        <w:pStyle w:val="TabulkaNadpis"/>
      </w:pPr>
      <w:r>
        <w:t>Stavební postupy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249F1A6C" w14:textId="703B7EFC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C02A5">
              <w:t>Zahájení stavby</w:t>
            </w:r>
            <w:r w:rsidR="008B4F46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599A9CB8" w:rsidR="008B4F46" w:rsidRPr="008B4F46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B4F46">
              <w:rPr>
                <w:sz w:val="14"/>
              </w:rPr>
              <w:t xml:space="preserve">do </w:t>
            </w:r>
            <w:r w:rsidR="000F4352">
              <w:rPr>
                <w:sz w:val="14"/>
              </w:rPr>
              <w:t>5</w:t>
            </w:r>
            <w:r w:rsidRPr="008B4F46">
              <w:rPr>
                <w:sz w:val="14"/>
              </w:rPr>
              <w:t xml:space="preserve"> pracovních dnů od účinnosti smlouvy</w:t>
            </w:r>
          </w:p>
          <w:p w14:paraId="053FEF27" w14:textId="77777777" w:rsidR="001A178E" w:rsidRDefault="008B4F46" w:rsidP="000F4352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B4F46">
              <w:rPr>
                <w:sz w:val="14"/>
              </w:rPr>
              <w:t>(předpoklad</w:t>
            </w:r>
          </w:p>
          <w:p w14:paraId="5BAE7785" w14:textId="36E1888A" w:rsidR="00580BF5" w:rsidRPr="008B4F46" w:rsidRDefault="000F4352" w:rsidP="000F4352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red"/>
              </w:rPr>
            </w:pPr>
            <w:r>
              <w:rPr>
                <w:sz w:val="14"/>
              </w:rPr>
              <w:t xml:space="preserve">květen </w:t>
            </w:r>
            <w:r w:rsidR="00580BF5" w:rsidRPr="000F4352">
              <w:rPr>
                <w:sz w:val="14"/>
              </w:rPr>
              <w:t>20</w:t>
            </w:r>
            <w:r w:rsidR="008B4F46" w:rsidRPr="000F4352">
              <w:rPr>
                <w:sz w:val="14"/>
              </w:rPr>
              <w:t>23)</w:t>
            </w:r>
          </w:p>
        </w:tc>
      </w:tr>
      <w:tr w:rsidR="00580BF5" w:rsidRPr="00404F88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Default="00580BF5" w:rsidP="00580BF5">
            <w:pPr>
              <w:pStyle w:val="Tabulka-7"/>
              <w:rPr>
                <w:highlight w:val="green"/>
              </w:rPr>
            </w:pPr>
            <w:r w:rsidRPr="008B4F46">
              <w:t>Dokončení stavebních prací</w:t>
            </w:r>
          </w:p>
        </w:tc>
        <w:tc>
          <w:tcPr>
            <w:tcW w:w="3073" w:type="dxa"/>
          </w:tcPr>
          <w:p w14:paraId="566D0A67" w14:textId="77777777" w:rsidR="00580BF5" w:rsidRPr="007E040C" w:rsidDel="0005575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694" w:type="dxa"/>
          </w:tcPr>
          <w:p w14:paraId="3034FA3E" w14:textId="77777777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68C3DB0D" w:rsidR="00580BF5" w:rsidRPr="009B0280" w:rsidRDefault="008B4F46" w:rsidP="009B028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9B0280">
              <w:rPr>
                <w:sz w:val="14"/>
              </w:rPr>
              <w:t xml:space="preserve">do </w:t>
            </w:r>
            <w:r w:rsidR="009B0280" w:rsidRPr="009B0280">
              <w:rPr>
                <w:sz w:val="14"/>
              </w:rPr>
              <w:t xml:space="preserve">6 </w:t>
            </w:r>
            <w:r w:rsidRPr="009B0280">
              <w:rPr>
                <w:sz w:val="14"/>
              </w:rPr>
              <w:t>měsíců ode dne zahájení stavby</w:t>
            </w:r>
          </w:p>
        </w:tc>
      </w:tr>
      <w:tr w:rsidR="00580BF5" w:rsidRPr="00404F8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65395B6F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Dokončení Díla</w:t>
            </w:r>
          </w:p>
        </w:tc>
        <w:tc>
          <w:tcPr>
            <w:tcW w:w="1694" w:type="dxa"/>
          </w:tcPr>
          <w:p w14:paraId="6475AD07" w14:textId="77777777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03425818" w:rsidR="00580BF5" w:rsidRPr="009B0280" w:rsidRDefault="008B4F46" w:rsidP="009B028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9B0280">
              <w:rPr>
                <w:sz w:val="14"/>
              </w:rPr>
              <w:t xml:space="preserve">do </w:t>
            </w:r>
            <w:r w:rsidR="009B0280" w:rsidRPr="009B0280">
              <w:rPr>
                <w:sz w:val="14"/>
              </w:rPr>
              <w:t xml:space="preserve">7 </w:t>
            </w:r>
            <w:r w:rsidRPr="009B0280">
              <w:rPr>
                <w:sz w:val="14"/>
              </w:rPr>
              <w:t>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50" w:name="_Toc6410461"/>
      <w:bookmarkStart w:id="51" w:name="_Toc126758560"/>
      <w:r w:rsidRPr="00EC2E51">
        <w:t>SOUVISEJÍCÍ</w:t>
      </w:r>
      <w:r>
        <w:t xml:space="preserve"> DOKUMENTY A PŘEDPISY</w:t>
      </w:r>
      <w:bookmarkEnd w:id="50"/>
      <w:bookmarkEnd w:id="51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2" w:name="_Toc6410462"/>
      <w:bookmarkStart w:id="53" w:name="_Toc126758561"/>
      <w:r>
        <w:t>PŘÍLOHY</w:t>
      </w:r>
      <w:bookmarkEnd w:id="52"/>
      <w:bookmarkEnd w:id="53"/>
    </w:p>
    <w:p w14:paraId="520CC0CC" w14:textId="76EF2B24" w:rsidR="00F66DA9" w:rsidRPr="00D25D64" w:rsidRDefault="00D25D64" w:rsidP="00F66DA9">
      <w:pPr>
        <w:pStyle w:val="Text2-1"/>
      </w:pPr>
      <w:r w:rsidRPr="00D25D64">
        <w:t>NEOBSAZENO</w:t>
      </w:r>
      <w:r w:rsidR="001A178E">
        <w:t>.</w:t>
      </w: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B8110" w14:textId="77777777" w:rsidR="007D485E" w:rsidRDefault="007D485E" w:rsidP="00962258">
      <w:pPr>
        <w:spacing w:after="0" w:line="240" w:lineRule="auto"/>
      </w:pPr>
      <w:r>
        <w:separator/>
      </w:r>
    </w:p>
  </w:endnote>
  <w:endnote w:type="continuationSeparator" w:id="0">
    <w:p w14:paraId="274C2A9F" w14:textId="77777777" w:rsidR="007D485E" w:rsidRDefault="007D485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D485E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17FBF70D" w:rsidR="007D485E" w:rsidRPr="00B8518B" w:rsidRDefault="007D485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0CA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0CA2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01856F5A" w:rsidR="007D485E" w:rsidRDefault="0024223D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provozních objektů v obvodu OŘ OVA 2023 – Ostrava ADM Skladištní – vnitřní stavební úpravy 2. etapa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7D485E">
            <w:t>Příloha č. 2 b)</w:t>
          </w:r>
          <w:r w:rsidR="007D485E" w:rsidRPr="003462EB">
            <w:t xml:space="preserve"> </w:t>
          </w:r>
        </w:p>
        <w:p w14:paraId="178E0553" w14:textId="1B37D375" w:rsidR="007D485E" w:rsidRPr="003462EB" w:rsidRDefault="007D485E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/ v. 06022023 </w:t>
          </w:r>
        </w:p>
      </w:tc>
    </w:tr>
  </w:tbl>
  <w:p w14:paraId="422A1078" w14:textId="77777777" w:rsidR="007D485E" w:rsidRPr="00614E71" w:rsidRDefault="007D485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D485E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0F20B1C2" w:rsidR="007D485E" w:rsidRDefault="0024223D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provozních objektů v obvodu OŘ OVA 2023 – Ostrava ADM Skladištní – vnitřní stavební úpravy 2. etapa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7D485E">
            <w:t>Příloha č. 2 b)</w:t>
          </w:r>
        </w:p>
        <w:p w14:paraId="5D9BD160" w14:textId="3081E1ED" w:rsidR="007D485E" w:rsidRPr="003462EB" w:rsidRDefault="007D485E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/ v. 06022023 </w:t>
          </w:r>
        </w:p>
      </w:tc>
      <w:tc>
        <w:tcPr>
          <w:tcW w:w="935" w:type="dxa"/>
          <w:vAlign w:val="bottom"/>
        </w:tcPr>
        <w:p w14:paraId="3DBC2A04" w14:textId="4416A338" w:rsidR="007D485E" w:rsidRPr="009E09BE" w:rsidRDefault="007D485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0CA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0CA2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7D485E" w:rsidRPr="00B8518B" w:rsidRDefault="007D485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7D485E" w:rsidRPr="00B8518B" w:rsidRDefault="007D485E" w:rsidP="00460660">
    <w:pPr>
      <w:pStyle w:val="Zpat"/>
      <w:rPr>
        <w:sz w:val="2"/>
        <w:szCs w:val="2"/>
      </w:rPr>
    </w:pPr>
  </w:p>
  <w:p w14:paraId="53F277EE" w14:textId="77777777" w:rsidR="007D485E" w:rsidRDefault="007D485E" w:rsidP="00757290">
    <w:pPr>
      <w:pStyle w:val="Zpatvlevo"/>
      <w:rPr>
        <w:rFonts w:cs="Calibri"/>
        <w:szCs w:val="12"/>
      </w:rPr>
    </w:pPr>
  </w:p>
  <w:p w14:paraId="17EFC080" w14:textId="77777777" w:rsidR="007D485E" w:rsidRPr="00460660" w:rsidRDefault="007D485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ED8B2" w14:textId="77777777" w:rsidR="007D485E" w:rsidRDefault="007D485E" w:rsidP="00962258">
      <w:pPr>
        <w:spacing w:after="0" w:line="240" w:lineRule="auto"/>
      </w:pPr>
      <w:r>
        <w:separator/>
      </w:r>
    </w:p>
  </w:footnote>
  <w:footnote w:type="continuationSeparator" w:id="0">
    <w:p w14:paraId="0B70C091" w14:textId="77777777" w:rsidR="007D485E" w:rsidRDefault="007D485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D485E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7D485E" w:rsidRPr="00B8518B" w:rsidRDefault="007D485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7D485E" w:rsidRDefault="007D485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7D485E" w:rsidRPr="00D6163D" w:rsidRDefault="007D485E" w:rsidP="00FC6389">
          <w:pPr>
            <w:pStyle w:val="Druhdokumentu"/>
          </w:pPr>
        </w:p>
      </w:tc>
    </w:tr>
    <w:tr w:rsidR="007D485E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7D485E" w:rsidRPr="00B8518B" w:rsidRDefault="007D485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7D485E" w:rsidRDefault="007D485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7D485E" w:rsidRPr="00D6163D" w:rsidRDefault="007D485E" w:rsidP="00FC6389">
          <w:pPr>
            <w:pStyle w:val="Druhdokumentu"/>
          </w:pPr>
        </w:p>
      </w:tc>
    </w:tr>
  </w:tbl>
  <w:p w14:paraId="53E85CAA" w14:textId="77777777" w:rsidR="007D485E" w:rsidRPr="00D6163D" w:rsidRDefault="007D485E" w:rsidP="00FC6389">
    <w:pPr>
      <w:pStyle w:val="Zhlav"/>
      <w:rPr>
        <w:sz w:val="8"/>
        <w:szCs w:val="8"/>
      </w:rPr>
    </w:pPr>
  </w:p>
  <w:p w14:paraId="1437D3AE" w14:textId="77777777" w:rsidR="007D485E" w:rsidRPr="00460660" w:rsidRDefault="007D485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EBA23A1"/>
    <w:multiLevelType w:val="hybridMultilevel"/>
    <w:tmpl w:val="268631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3377E"/>
    <w:multiLevelType w:val="hybridMultilevel"/>
    <w:tmpl w:val="1EF61E5C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A630A8"/>
    <w:multiLevelType w:val="hybridMultilevel"/>
    <w:tmpl w:val="92A686AE"/>
    <w:lvl w:ilvl="0" w:tplc="040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8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864401">
    <w:abstractNumId w:val="9"/>
  </w:num>
  <w:num w:numId="2" w16cid:durableId="232814326">
    <w:abstractNumId w:val="7"/>
  </w:num>
  <w:num w:numId="3" w16cid:durableId="1555266065">
    <w:abstractNumId w:val="4"/>
  </w:num>
  <w:num w:numId="4" w16cid:durableId="1823112563">
    <w:abstractNumId w:val="10"/>
  </w:num>
  <w:num w:numId="5" w16cid:durableId="297296242">
    <w:abstractNumId w:val="13"/>
  </w:num>
  <w:num w:numId="6" w16cid:durableId="950631767">
    <w:abstractNumId w:val="6"/>
  </w:num>
  <w:num w:numId="7" w16cid:durableId="15782014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11510264">
    <w:abstractNumId w:val="18"/>
  </w:num>
  <w:num w:numId="9" w16cid:durableId="242221913">
    <w:abstractNumId w:val="0"/>
  </w:num>
  <w:num w:numId="10" w16cid:durableId="1439370003">
    <w:abstractNumId w:val="10"/>
  </w:num>
  <w:num w:numId="11" w16cid:durableId="1668243123">
    <w:abstractNumId w:val="13"/>
  </w:num>
  <w:num w:numId="12" w16cid:durableId="1991055812">
    <w:abstractNumId w:val="16"/>
  </w:num>
  <w:num w:numId="13" w16cid:durableId="1011836194">
    <w:abstractNumId w:val="3"/>
  </w:num>
  <w:num w:numId="14" w16cid:durableId="1582326183">
    <w:abstractNumId w:val="6"/>
  </w:num>
  <w:num w:numId="15" w16cid:durableId="933435882">
    <w:abstractNumId w:val="18"/>
  </w:num>
  <w:num w:numId="16" w16cid:durableId="517935568">
    <w:abstractNumId w:val="8"/>
  </w:num>
  <w:num w:numId="17" w16cid:durableId="1477721271">
    <w:abstractNumId w:val="12"/>
  </w:num>
  <w:num w:numId="18" w16cid:durableId="1445231200">
    <w:abstractNumId w:val="2"/>
  </w:num>
  <w:num w:numId="19" w16cid:durableId="173612318">
    <w:abstractNumId w:val="6"/>
  </w:num>
  <w:num w:numId="20" w16cid:durableId="2100052666">
    <w:abstractNumId w:val="6"/>
  </w:num>
  <w:num w:numId="21" w16cid:durableId="4347858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95971770">
    <w:abstractNumId w:val="15"/>
  </w:num>
  <w:num w:numId="23" w16cid:durableId="1206017133">
    <w:abstractNumId w:val="6"/>
  </w:num>
  <w:num w:numId="24" w16cid:durableId="1604218601">
    <w:abstractNumId w:val="6"/>
  </w:num>
  <w:num w:numId="25" w16cid:durableId="2099978582">
    <w:abstractNumId w:val="14"/>
  </w:num>
  <w:num w:numId="26" w16cid:durableId="1668315517">
    <w:abstractNumId w:val="6"/>
  </w:num>
  <w:num w:numId="27" w16cid:durableId="711000976">
    <w:abstractNumId w:val="6"/>
  </w:num>
  <w:num w:numId="28" w16cid:durableId="836652335">
    <w:abstractNumId w:val="6"/>
  </w:num>
  <w:num w:numId="29" w16cid:durableId="1678772976">
    <w:abstractNumId w:val="1"/>
  </w:num>
  <w:num w:numId="30" w16cid:durableId="981035732">
    <w:abstractNumId w:val="6"/>
  </w:num>
  <w:num w:numId="31" w16cid:durableId="993483857">
    <w:abstractNumId w:val="6"/>
  </w:num>
  <w:num w:numId="32" w16cid:durableId="1480151721">
    <w:abstractNumId w:val="6"/>
  </w:num>
  <w:num w:numId="33" w16cid:durableId="254629519">
    <w:abstractNumId w:val="6"/>
  </w:num>
  <w:num w:numId="34" w16cid:durableId="1935550718">
    <w:abstractNumId w:val="6"/>
  </w:num>
  <w:num w:numId="35" w16cid:durableId="613562559">
    <w:abstractNumId w:val="6"/>
  </w:num>
  <w:num w:numId="36" w16cid:durableId="893539863">
    <w:abstractNumId w:val="6"/>
  </w:num>
  <w:num w:numId="37" w16cid:durableId="211500280">
    <w:abstractNumId w:val="6"/>
  </w:num>
  <w:num w:numId="38" w16cid:durableId="398793286">
    <w:abstractNumId w:val="6"/>
  </w:num>
  <w:num w:numId="39" w16cid:durableId="721438903">
    <w:abstractNumId w:val="17"/>
  </w:num>
  <w:num w:numId="40" w16cid:durableId="863790626">
    <w:abstractNumId w:val="11"/>
  </w:num>
  <w:num w:numId="41" w16cid:durableId="1353267483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1D6D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4352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178E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D4229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29B0"/>
    <w:rsid w:val="00217951"/>
    <w:rsid w:val="00223CF2"/>
    <w:rsid w:val="00224E36"/>
    <w:rsid w:val="00230FC2"/>
    <w:rsid w:val="00232000"/>
    <w:rsid w:val="00234E1A"/>
    <w:rsid w:val="00234F48"/>
    <w:rsid w:val="00235C30"/>
    <w:rsid w:val="002370B0"/>
    <w:rsid w:val="00237695"/>
    <w:rsid w:val="00240A75"/>
    <w:rsid w:val="00240B81"/>
    <w:rsid w:val="00240E11"/>
    <w:rsid w:val="00241A2D"/>
    <w:rsid w:val="0024223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108C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326"/>
    <w:rsid w:val="00357BC6"/>
    <w:rsid w:val="00361422"/>
    <w:rsid w:val="0036167F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3A2A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1917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0899"/>
    <w:rsid w:val="00686559"/>
    <w:rsid w:val="00687579"/>
    <w:rsid w:val="0069136C"/>
    <w:rsid w:val="00693150"/>
    <w:rsid w:val="006972D4"/>
    <w:rsid w:val="00697FB4"/>
    <w:rsid w:val="006A019B"/>
    <w:rsid w:val="006A47FC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3304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485E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491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0CA2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0280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1AB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2411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597F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1421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0A87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2757"/>
    <w:rsid w:val="00C73385"/>
    <w:rsid w:val="00C778A5"/>
    <w:rsid w:val="00C82D3F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D41C0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5D64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981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6AE6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3AF9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A5654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2D50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4D615C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1C3E"/>
    <w:rsid w:val="00B16F27"/>
    <w:rsid w:val="00B30CC9"/>
    <w:rsid w:val="00B51284"/>
    <w:rsid w:val="00B642BC"/>
    <w:rsid w:val="00BF7EAF"/>
    <w:rsid w:val="00C4354E"/>
    <w:rsid w:val="00C710FC"/>
    <w:rsid w:val="00CF3DC6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F22C26-8C76-43E9-B4D8-EEFA7DDBAD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741</TotalTime>
  <Pages>13</Pages>
  <Words>5299</Words>
  <Characters>31269</Characters>
  <Application>Microsoft Office Word</Application>
  <DocSecurity>0</DocSecurity>
  <Lines>260</Lines>
  <Paragraphs>72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28</cp:revision>
  <cp:lastPrinted>2023-02-06T13:26:00Z</cp:lastPrinted>
  <dcterms:created xsi:type="dcterms:W3CDTF">2023-02-06T09:20:00Z</dcterms:created>
  <dcterms:modified xsi:type="dcterms:W3CDTF">2023-04-14T12:17:00Z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